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AVAG 2001 — Zuständigkeit</w:t>
      </w:r>
    </w:p>
    <w:p>
      <w:r>
        <w:rPr>
          <w:color w:val="555555"/>
          <w:sz w:val="18"/>
        </w:rPr>
        <w:t xml:space="preserve">Anerkennungs- und Vollstreckungsausführungsgesetz</w:t>
      </w:r>
    </w:p>
    <w:p>
      <w:r>
        <w:rPr>
          <w:color w:val="555555"/>
          <w:sz w:val="18"/>
        </w:rPr>
        <w:t xml:space="preserve">Stand: 10.06.2019 (konsolidierte Textfassung, kein amtliches Inkrafttretensdatum)</w:t>
      </w:r>
    </w:p>
    <w:p>
      <w:r>
        <w:t xml:space="preserve">(1) Für die Vollstreckbarerklärung von Titeln aus einem anderen Staat ist das Landgericht ausschließlich zuständig.</w:t>
      </w:r>
    </w:p>
    <w:p>
      <w:r>
        <w:t xml:space="preserve">(2) Örtlich zuständig ist ausschließlich das Gericht, in dessen Bezirk der Verpflichtete seinen Wohnsitz hat, oder, wenn er im Inland keinen Wohnsitz hat, das Gericht, in dessen Bezirk die Zwangsvollstreckung durchgeführt werden soll. Der Sitz von Gesellschaften und juristischen Personen steht dem Wohnsitz gleich.</w:t>
      </w:r>
    </w:p>
    <w:p>
      <w:r>
        <w:t xml:space="preserve">(3) Über den Antrag auf Erteilung der Vollstreckungsklausel entscheidet der Vorsitzende einer Zivilkammer.</w:t>
      </w:r>
    </w:p>
    <w:p>
      <w:r>
        <w:rPr>
          <w:color w:val="555555"/>
          <w:sz w:val="17"/>
        </w:rPr>
        <w:t xml:space="preserve">Zitiervorschlag: § 3 AVAG 2001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https://recht.nulegal.eu/gesetze/AVAG%202001/3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