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AVAG 2001 — Schadensersatz wegen ungerechtfertigter Vollstreckung</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Wird die Zulassung der Zwangsvollstreckung auf die Beschwerde (§ 11) oder die Rechtsbeschwerde (§ 15) aufgehoben oder abgeändert, so ist der Berechtigte zum Ersatz des Schadens verpflichtet, der dem Verpflichteten durch die Vollstreckung des Titels oder durch eine Leistung zur Abwendung der Vollstreckung entstanden ist. Das Gleiche gilt, wenn die Zulassung der Zwangsvollstreckung nach § 27 aufgehoben oder abgeändert wird, sofern die zur Zwangsvollstreckung zugelassene Entscheidung zum Zeitpunkt der Zulassung nach dem Recht des Staats, in dem sie ergangen ist, noch mit einem ordentlichen Rechtsmittel angefochten werden konnte.</w:t>
      </w:r>
    </w:p>
    <w:p>
      <w:r>
        <w:t xml:space="preserve">(2) Für die Geltendmachung des Anspruchs ist das Gericht ausschließlich zuständig, das im ersten Rechtszug über den Antrag, den Titel mit der Vollstreckungsklausel zu versehen, entschieden hat.</w:t>
      </w:r>
    </w:p>
    <w:p>
      <w:r>
        <w:rPr>
          <w:color w:val="555555"/>
          <w:sz w:val="17"/>
        </w:rPr>
        <w:t xml:space="preserve">Zitiervorschlag: § 28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