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AVAG 2001 — Verfahren und Entscheidung</w:t>
      </w:r>
    </w:p>
    <w:p>
      <w:r>
        <w:rPr>
          <w:color w:val="555555"/>
          <w:sz w:val="18"/>
        </w:rPr>
        <w:t xml:space="preserve">Anerkennungs- und Vollstreckungsausführungsgesetz</w:t>
      </w:r>
    </w:p>
    <w:p>
      <w:r>
        <w:rPr>
          <w:color w:val="555555"/>
          <w:sz w:val="18"/>
        </w:rPr>
        <w:t xml:space="preserve">Stand: 10.06.2019 (konsolidierte Textfassung, kein amtliches Inkrafttretensdatum)</w:t>
      </w:r>
    </w:p>
    <w:p>
      <w:r>
        <w:t xml:space="preserve">(1) Der Bundesgerichtshof kann nur überprüfen, ob der Beschluss auf einer Verletzung des Rechts der Europäischen Union, eines Anerkennungs- und Vollstreckungsvertrags, sonstigen Bundesrechts oder einer anderen Vorschrift beruht, deren Geltungsbereich sich über den Bezirk eines Oberlandesgerichts hinaus erstreckt. Er darf nicht prüfen, ob das Gericht seine örtliche Zuständigkeit zu Unrecht angenommen hat.</w:t>
      </w:r>
    </w:p>
    <w:p>
      <w:r>
        <w:t xml:space="preserve">(2) Der Bundesgerichtshof kann über die Rechtsbeschwerde ohne mündliche Verhandlung entscheiden. Auf das Verfahren über die Rechtsbeschwerde sind § 574 Absatz 4, § 576 Absatz 3 und § 577 der Zivilprozessordnung entsprechend anzuwenden.</w:t>
      </w:r>
    </w:p>
    <w:p>
      <w:r>
        <w:t xml:space="preserve">(3) Soweit die Zwangsvollstreckung aus dem Titel erstmals durch den Bundesgerichtshof zugelassen wird, erteilt der Urkundsbeamte der Geschäftsstelle dieses Gerichts die Vollstreckungsklausel. § 8 Absatz 1 Satz 2 und 4, §§ 9 und 10 Absatz 1 und 3 Satz 1 gelten entsprechend. Ein Zusatz über die Beschränkung der Zwangsvollstreckung entfällt.</w:t>
      </w:r>
    </w:p>
    <w:p>
      <w:r>
        <w:rPr>
          <w:color w:val="555555"/>
          <w:sz w:val="17"/>
        </w:rPr>
        <w:t xml:space="preserve">Zitiervorschlag: § 17 AVAG 2001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https://recht.nulegal.eu/gesetze/AVAG%202001/17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