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AVAG 2001 — Verfahren und Entscheidung über die Beschwerde</w:t>
      </w:r>
    </w:p>
    <w:p>
      <w:r>
        <w:rPr>
          <w:color w:val="555555"/>
          <w:sz w:val="18"/>
        </w:rPr>
        <w:t xml:space="preserve">Anerkennungs- und Vollstreckungsausführungsgesetz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Beschwerdegericht entscheidet durch Beschluss, der mit Gründen zu versehen ist und ohne mündliche Verhandlung ergehen kann. Der Beschwerdegegner ist vor der Entscheidung zu hören.</w:t>
      </w:r>
    </w:p>
    <w:p>
      <w:r>
        <w:t xml:space="preserve">(2) Solange eine mündliche Verhandlung nicht angeordnet ist, können zu Protokoll der Geschäftsstelle Anträge gestellt und Erklärungen abgegeben werden. Wird die mündliche Verhandlung angeordnet, so gilt für die Ladung § 215 der Zivilprozessordnung.</w:t>
      </w:r>
    </w:p>
    <w:p>
      <w:r>
        <w:t xml:space="preserve">(3) Eine vollständige Ausfertigung des Beschlusses ist dem Berechtigten und dem Verpflichteten auch dann von Amts wegen zuzustellen, wenn der Beschluss verkündet worden ist.</w:t>
      </w:r>
    </w:p>
    <w:p>
      <w:r>
        <w:t xml:space="preserve">(4) Soweit nach dem Beschluss des Beschwerdegerichts die Zwangsvollstreckung aus dem Titel erstmals zuzulassen ist, erteilt der Urkundsbeamte der Geschäftsstelle des Beschwerdegerichts die Vollstreckungsklausel. § 8 Absatz 1 Satz 2 und 4, §§ 9 und 10 Absatz 1 und 3 Satz 1 sind entsprechend anzuwenden. Ein Zusatz, dass die Zwangsvollstreckung über Maßregeln zur Sicherung nicht hinausgehen darf, ist nur aufzunehmen, wenn das Beschwerdegericht eine Anordnung nach diesem Gesetz (§ 22 Absatz 2, § 40 Absatz 1 Nummer 1 oder § 45 Absatz 1 Nummer 1) erlassen hat. Der Inhalt des Zusatzes bestimmt sich nach dem Inhalt der Anordnung.</w:t>
      </w:r>
    </w:p>
    <w:p>
      <w:r>
        <w:rPr>
          <w:color w:val="555555"/>
          <w:sz w:val="17"/>
        </w:rPr>
        <w:t xml:space="preserve">Zitiervorschlag: § 13 AVAG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https://recht.nulegal.eu/gesetze/AVAG%202001/13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