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AVAG 2001 — Bekanntgabe der Entscheidung</w:t>
      </w:r>
    </w:p>
    <w:p>
      <w:r>
        <w:rPr>
          <w:color w:val="555555"/>
          <w:sz w:val="18"/>
        </w:rPr>
        <w:t xml:space="preserve">Anerkennungs- und Vollstreckungsausführungsgesetz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Falle des § 8 Absatz 1 sind dem Verpflichteten eine beglaubigte Abschrift des Beschlusses, eine beglaubigte Abschrift des mit der Vollstreckungsklausel versehenen Titels und gegebenenfalls seiner Übersetzung sowie der gemäß § 8 Absatz 1 Satz 3 in Bezug genommenen Urkunden von Amts wegen zuzustellen.</w:t>
      </w:r>
    </w:p>
    <w:p>
      <w:r>
        <w:t xml:space="preserve">(2) Muss die Zustellung an den Verpflichteten im Ausland oder durch öffentliche Bekanntmachung erfolgen und hält das Gericht die Beschwerdefrist nach § 11 Absatz 3 Satz 1 nicht für ausreichend, so bestimmt es in dem Beschluss nach § 8 Absatz 1 oder nachträglich durch besonderen Beschluss, der ohne mündliche Verhandlung ergeht, eine längere Beschwerdefrist. Die Bestimmungen über den Beginn der Beschwerdefrist bleiben auch im Falle der nachträglichen Festsetzung unberührt.</w:t>
      </w:r>
    </w:p>
    <w:p>
      <w:r>
        <w:t xml:space="preserve">(3) Dem Antragsteller sind eine beglaubigte Abschrift des Beschlusses nach § 8, im Falle des § 8 Absatz 1 ferner die mit der Vollstreckungsklausel versehene Ausfertigung des Titels und eine Bescheinigung über die bewirkte Zustellung, zu übersenden. In den Fällen des Absatzes 2 ist die festgesetzte Frist für die Einlegung der Beschwerde auf der Bescheinigung über die bewirkte Zustellung zu vermerken.</w:t>
      </w:r>
    </w:p>
    <w:p>
      <w:r>
        <w:rPr>
          <w:color w:val="555555"/>
          <w:sz w:val="17"/>
        </w:rPr>
        <w:t xml:space="preserve">Zitiervorschlag: § 10 AVAG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https://recht.nulegal.eu/gesetze/AVAG%202001/10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