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AVÜG (Bayern) — Inkrafttreten</w:t>
      </w:r>
    </w:p>
    <w:p>
      <w:r>
        <w:rPr>
          <w:color w:val="555555"/>
          <w:sz w:val="18"/>
        </w:rPr>
        <w:t xml:space="preserve">Verordnung zur Ausführung des Gesetzes zur Übertragung staatlicher Kassengeschäfte auf die Landkreise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1982 in Kraft.</w:t>
      </w:r>
    </w:p>
    <w:p>
      <w:r>
        <w:t xml:space="preserve">(2) (gegenstandslos)</w:t>
      </w:r>
    </w:p>
    <w:p>
      <w:r>
        <w:t xml:space="preserve">[Amtl. Anm.:] Betrifft die ursprüngliche Fassung vom 11. November 1981 (GVBl. S. 495)</w:t>
      </w:r>
    </w:p>
    <w:p>
      <w:r>
        <w:rPr>
          <w:color w:val="555555"/>
          <w:sz w:val="17"/>
        </w:rPr>
        <w:t xml:space="preserve">Zitiervorschlag: § 7 AVÜG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https://recht.nulegal.eu/gesetze/AV%C3%9CG/7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