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AVÜG (Bayern) — Wertgegenstände</w:t>
      </w:r>
    </w:p>
    <w:p>
      <w:r>
        <w:rPr>
          <w:color w:val="555555"/>
          <w:sz w:val="18"/>
        </w:rPr>
        <w:t xml:space="preserve">Verordnung zur Ausführung des Gesetzes zur Übertragung staatlicher Kassengeschäfte auf die Landkreise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Wertgegenstände, Vordrucke für kostenpflichtige Amtshandlungen und verkäufliche Vordrucke, die für das Landratsamt als Staatsbehörde zu verwalten sind, werden getrennt von den übrigen Wertgegenständen der Kreiskasse nachgewiesen.</w:t>
      </w:r>
    </w:p>
    <w:p>
      <w:r>
        <w:rPr>
          <w:color w:val="555555"/>
          <w:sz w:val="17"/>
        </w:rPr>
        <w:t xml:space="preserve">Zitiervorschlag: § 4 AVÜG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https://recht.nulegal.eu/gesetze/AV%C3%9CG/4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