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AVÜG (Bayern) — Allgemeines</w:t>
      </w:r>
    </w:p>
    <w:p>
      <w:r>
        <w:rPr>
          <w:color w:val="555555"/>
          <w:sz w:val="18"/>
        </w:rPr>
        <w:t xml:space="preserve">Verordnung zur Ausführung des Gesetzes zur Übertragung staatlicher Kassengeschäfte auf die Landkreise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Landkreisen sind nach Art. 1 Abs. 1 und 2 des Gesetzes zur Übertragung staatlicher Kassengeschäfte auf die Landkreise übertragen:</w:t>
      </w:r>
    </w:p>
    <w:p>
      <w:r>
        <w:t xml:space="preserve">1. Die Einziehung</w:t>
      </w:r>
    </w:p>
    <w:p>
      <w:r>
        <w:t xml:space="preserve">a) der von den Landratsämtern als Staatsbehörden festgesetzten Kosten (Gebühren und Auslagen), Geldbußen, Verwarnungsgelder, Zwangsgelder, Jagdabgabe, sowie der im Zusammenhang mit den Kosten zu erhebenden durchlaufenden Gelder,</w:t>
      </w:r>
    </w:p>
    <w:p>
      <w:r>
        <w:t xml:space="preserve">b) von sonstigen staatlichen Einnahmen, die den Landkreisen überlassen werden.</w:t>
      </w:r>
    </w:p>
    <w:p>
      <w:r>
        <w:t xml:space="preserve">2. Ein- und Auszahlungen für Zwecke des Staatshaushalts, soweit sie bar geleistet werden oder aus zwingenden Gründen von der Kreiskasse zu erledigen sind.</w:t>
      </w:r>
    </w:p>
    <w:p>
      <w:r>
        <w:t xml:space="preserve">3. Die Annahme von Verwahrungen und die Leistung von Vorschüssen der Landratsämter als Staatsbehörden.</w:t>
      </w:r>
    </w:p>
    <w:p>
      <w:r>
        <w:t xml:space="preserve">4. Die Auszahlung für Leistungen nach den Ausbildungsförderungsgesetzen und die damit in Zusammenhang stehenden Einzahlungen.</w:t>
      </w:r>
    </w:p>
    <w:p>
      <w:r>
        <w:t xml:space="preserve">(2) Die Einzahlungen und Auszahlungen nach Absatz 1 führen zu Einnahmen und Ausgaben des Freistaates Bayern. Beträge nach Absatz 1 Nr. 1, die den Landkreisen nach Art. 7 des Finanzausgleichsgesetzes als Finanzzuweisung gewährt oder den Landkreisen auf Grund anderer Regelungen überlassen werden, sind jedoch bereits bei ihrer Einzahlung in den Büchern der Landkreise zu buchen. Die übrigen Ein- und Auszahlungen nach Absatz 1 werden von den Kreiskassen als durchlaufende Gelder im Verwahrbuch gebucht. Die Sachbücher der Landkreise für die Buchungen nach den Sätzen 2 und 3 gelten gleichzeitig als Sachbücher zum Staatshaushalt.</w:t>
      </w:r>
    </w:p>
    <w:p>
      <w:r>
        <w:t xml:space="preserve">(3) Die übertragenen Aufgaben sind nach den für die Kreiskassen geltenden Vorschriften zu erledigen, soweit nachstehend nichts anderes bestimmt ist.</w:t>
      </w:r>
    </w:p>
    <w:p>
      <w:r>
        <w:t xml:space="preserve">[Amtl. Anm.:] BayRS 2023-6-I</w:t>
      </w:r>
    </w:p>
    <w:p>
      <w:r>
        <w:t xml:space="preserve">[Amtl. Anm.:] BayRS 605-1-F</w:t>
      </w:r>
    </w:p>
    <w:p>
      <w:r>
        <w:rPr>
          <w:color w:val="555555"/>
          <w:sz w:val="17"/>
        </w:rPr>
        <w:t xml:space="preserve">Zitiervorschlag: § 1 AVÜG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https://recht.nulegal.eu/gesetze/AV%C3%9CG/1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