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AUV 2012</w:t>
      </w:r>
    </w:p>
    <w:p>
      <w:r>
        <w:rPr>
          <w:color w:val="555555"/>
          <w:sz w:val="18"/>
        </w:rPr>
        <w:t xml:space="preserve">Auslandsumzugskostenverordnung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14 Absatz 1 des Bundesumzugskostengesetzes in der Fassung der Bekanntmachung vom 11. Dezember 1990 (BGBl. I S. 2682) und des § 82 Absatz 3 des Bundesbeamtengesetzes vom 5. Februar 2009 (BGBl. I S. 160) verordnet das Auswärtige Amt im Einvernehmen mit dem Bundesministerium des Innern, dem Bundesministerium der Verteidigung und dem Bundesministerium der Finanzen:</w:t>
      </w:r>
    </w:p>
    <w:p>
      <w:r>
        <w:rPr>
          <w:color w:val="555555"/>
          <w:sz w:val="17"/>
        </w:rPr>
        <w:t xml:space="preserve">Zitiervorschlag: Eingangsformel AUV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https://recht.nulegal.eu/gesetze/AUV%202012/eingangsformel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