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AUV 2012 — Personenkraftfahrzeuge</w:t>
      </w:r>
    </w:p>
    <w:p>
      <w:r>
        <w:rPr>
          <w:color w:val="555555"/>
          <w:sz w:val="18"/>
        </w:rPr>
        <w:t xml:space="preserve">Auslandsumzugskostenverordnung</w:t>
      </w:r>
    </w:p>
    <w:p>
      <w:r>
        <w:rPr>
          <w:color w:val="555555"/>
          <w:sz w:val="18"/>
        </w:rPr>
        <w:t xml:space="preserve">Stand: 10.06.2019 (konsolidierte Textfassung, kein amtliches Inkrafttretensdatum)</w:t>
      </w:r>
    </w:p>
    <w:p>
      <w:r>
        <w:t xml:space="preserve">(1) Die Kosten der Beförderung eines Personenkraftfahrzeugs werden erstattet.</w:t>
      </w:r>
    </w:p>
    <w:p>
      <w:r>
        <w:t xml:space="preserve">(2) Kosten der Beförderung eines zweiten Personenkraftfahrzeugs mit bis zu 1,8 Litern Hubraum und einem Volumen von höchstens 11 Kubikmetern werden nur erstattet, wenn zum Haushalt am neuen Dienstort mindestens eine berücksichtigungsfähige Person gehört. Innerhalb Europas werden nur die Kosten der Selbstüberführung eines zweiten Personenkraftfahrzeugs bis zur Höhe der Beförderungsauslagen nach dem Bundesreisekostengesetz erstattet; die Kosten der Beförderung eines zweiten Personenkraftfahrzeugs nach Island, Malta, in die Russische Föderation, die Türkei, die Ukraine, nach Weißrussland und Zypern werden jedoch nach Satz 1 erstattet.</w:t>
      </w:r>
    </w:p>
    <w:p>
      <w:r>
        <w:t xml:space="preserve">(3) Personenkraftfahrzeuge, die beim Umzug berücksichtigt werden, werden nicht in die Berechnung des Umzugsvolumens einbezogen.</w:t>
      </w:r>
    </w:p>
    <w:p>
      <w:r>
        <w:t xml:space="preserve">(4) Bei einem Umzug im Ausland kann die oberste Dienstbehörde Auslagen für die Beförderung des am bisherigen Dienstort genutzten Personenkraftfahrzeugs nach Deutschland und für die Beförderung eines Fahrzeugs aus Deutschland zum neuen Dienstort erstatten, wenn bezüglich des bisher genutzten Fahrzeugs sowohl die Einfuhr am neuen Dienstort als auch der Verkauf am bisherigen Dienstort verboten sind.</w:t>
      </w:r>
    </w:p>
    <w:p>
      <w:r>
        <w:rPr>
          <w:color w:val="555555"/>
          <w:sz w:val="17"/>
        </w:rPr>
        <w:t xml:space="preserve">Zitiervorschlag: § 7 AUV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https://recht.nulegal.eu/gesetze/AUV%202012/7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