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AUV 2012 — Antrag und Anzeigepflicht</w:t>
      </w:r>
    </w:p>
    <w:p>
      <w:r>
        <w:rPr>
          <w:color w:val="555555"/>
          <w:sz w:val="18"/>
        </w:rPr>
        <w:t xml:space="preserve">Auslandsumzugskostenverordnung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Ausschlussfrist für die Beantragung der Umzugskostenvergütung nach § 14 Absatz 6 Satz 1 des Bundesumzugskostengesetzes beginnt mit Beendigung des Umzugs.</w:t>
      </w:r>
    </w:p>
    <w:p>
      <w:r>
        <w:t xml:space="preserve">(2) Die berechtigte Person hat jede Änderung der tatsächlichen Verhältnisse, die die Höhe der Umzugskostenvergütung beeinflussen kann, unverzüglich anzuzeigen. Entsprechendes gilt für Rabatte, Geld- und Sachzuwendungen sowie für unentgeltliche Leistungen. Leistungen von dritter Seite sind anzurechnen.</w:t>
      </w:r>
    </w:p>
    <w:p>
      <w:r>
        <w:rPr>
          <w:color w:val="555555"/>
          <w:sz w:val="17"/>
        </w:rPr>
        <w:t xml:space="preserve">Zitiervorschlag: § 3 AUV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https://recht.nulegal.eu/gesetze/AUV%202012/3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