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AUV 2012 — Übergangsregelungen</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Die Kosten für die Beförderung und die Einlagerung von Umzugsgut werden der berechtigten Person, die bereits vor dem 1. Dezember 2012 über höheres Umzugsvolumen verfügt als nach dieser Verordnung berücksichtigt werden kann, bis zum nächsten Umzug ins Inland mit Zusage der Umzugskostenvergütung nach § 3 Absatz 1 Nummer 1 des Bundesumzugskostengesetzes in dem Umfang erstattet, in dem sie vor dem 1. Dezember 2012 erstattungsfähig waren. Reisekosten für Hausangestellte, deren Kosten für die Reise zum bisherigen Dienstort im Rahmen der Auslandsumzugskostenverordnung vor dem 1. Dezember 2012 erstattet wurden, können beim nächsten Umzug mit Zusage der Umzugskostenvergütung nach § 3 Absatz 1 Nummer 1 des Bundesumzugskostengesetzes im Rahmen der Kosten einer Reise ins Inland geltend gemacht werden.</w:t>
      </w:r>
    </w:p>
    <w:p>
      <w:r>
        <w:t xml:space="preserve">(2) Hat die berechtigte Person den Dienst am neuen Dienstort infolge einer Maßnahme, für die Umzugskostenvergütung zugesagt worden ist, nach dem 30. Juni 2010, aber vor dem 1. Dezember 2012 angetreten, bemisst sich die Höhe des Ausstattungs- und des Einrichtungsbeitrags nach den §§ 12 und 13 der Auslandsumzugskostenverordnung in der am 30. Juni 2010 geltenden Fassung und dem Bundesbesoldungsgesetz.</w:t>
      </w:r>
    </w:p>
    <w:p>
      <w:r>
        <w:rPr>
          <w:color w:val="555555"/>
          <w:sz w:val="17"/>
        </w:rPr>
        <w:t xml:space="preserve">Zitiervorschlag: § 29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