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AUV 2012 — Umzug am ausländischen Dienstort</w:t>
      </w:r>
    </w:p>
    <w:p>
      <w:r>
        <w:rPr>
          <w:color w:val="555555"/>
          <w:sz w:val="18"/>
        </w:rPr>
        <w:t xml:space="preserve">Auslandsumzugskostenverordnung</w:t>
      </w:r>
    </w:p>
    <w:p>
      <w:r>
        <w:rPr>
          <w:color w:val="555555"/>
          <w:sz w:val="18"/>
        </w:rPr>
        <w:t xml:space="preserve">Stand: 10.06.2019 (konsolidierte Textfassung, kein amtliches Inkrafttretensdatum)</w:t>
      </w:r>
    </w:p>
    <w:p>
      <w:r>
        <w:t xml:space="preserve">(1) Für einen Umzug am ausländischen Dienstort kann Umzugskostenvergütung zugesagt werden, wenn die Gesundheit oder die Sicherheit der berechtigten Person oder der berücksichtigungsfähigen Personen erheblich gefährdet sind oder wenn ein Umzug aus anderen zwingenden Gründen, die sich aus dem Auslandsdienst und den besonderen Verhältnissen im Ausland ergeben, erforderlich ist. In diesen Fällen werden neben den Beförderungsauslagen nach § 5 Absatz 1 bis 3 auch die Auslagen für Wohnungsbeschaffungskosten nach § 16 sowie die Umzugspauschale nach § 18 Absatz 5 gezahlt. Soweit erforderlich, können auch Auslagen nach § 17 erstattet werden.</w:t>
      </w:r>
    </w:p>
    <w:p>
      <w:r>
        <w:t xml:space="preserve">(2) Bei Umzügen nach Absatz 1 aus gesundheitlichen Gründen kann die Umzugskostenvergütung nur zugesagt werden, wenn die Notwendigkeit amts- oder vertrauensärztlich bescheinigt worden ist.</w:t>
      </w:r>
    </w:p>
    <w:p>
      <w:r>
        <w:t xml:space="preserve">(3) Die Umzugskostenvergütung ist so rechtzeitig zu beantragen, dass über sie vor Beginn des geplanten Umzugs entschieden werden kann.</w:t>
      </w:r>
    </w:p>
    <w:p>
      <w:r>
        <w:t xml:space="preserve">(4) Die berechtigte Person, der die Umzugskostenvergütung für einen Umzug nach § 3 Absatz 1 Nummer 1, 3 oder Nummer 4, nach § 4 Absatz 1 Nummer 2 bis 4 des Bundesumzugskostengesetzes oder in den Fällen des § 28 Absatz 1 und 2 dieser Verordnung zugesagt worden ist, erhält für den Umzug in eine vorläufige Wohnung Umzugskostenvergütung, wenn der Dienstherr die neue Wohnung vorher schriftlich oder elektronisch als vorläufige Wohnung anerkannt hat.</w:t>
      </w:r>
    </w:p>
    <w:p>
      <w:r>
        <w:rPr>
          <w:color w:val="555555"/>
          <w:sz w:val="17"/>
        </w:rPr>
        <w:t xml:space="preserve">Zitiervorschlag: § 23 AUV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https://recht.nulegal.eu/gesetze/AUV%202012/23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