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AUV 2012 — Begriffsbestimmungen</w:t>
      </w:r>
    </w:p>
    <w:p>
      <w:r>
        <w:rPr>
          <w:color w:val="555555"/>
          <w:sz w:val="18"/>
        </w:rPr>
        <w:t xml:space="preserve">Auslandsumzugskostenverordnung</w:t>
      </w:r>
    </w:p>
    <w:p>
      <w:r>
        <w:rPr>
          <w:color w:val="555555"/>
          <w:sz w:val="18"/>
        </w:rPr>
        <w:t xml:space="preserve">Stand: 10.06.2019 (konsolidierte Textfassung, kein amtliches Inkrafttretensdatum)</w:t>
      </w:r>
    </w:p>
    <w:p>
      <w:r>
        <w:t xml:space="preserve">(1) Berücksichtigungsfähige Personen sind:</w:t>
      </w:r>
    </w:p>
    <w:p>
      <w:pPr>
        <w:ind w:left="420"/>
      </w:pPr>
      <w:r>
        <w:t xml:space="preserve">1. die Ehegattin oder der Ehegatte der berechtigten Person,</w:t>
      </w:r>
    </w:p>
    <w:p>
      <w:pPr>
        <w:ind w:left="420"/>
      </w:pPr>
      <w:r>
        <w:t xml:space="preserve">2. die Lebenspartnerin oder der Lebenspartner der berechtigten Person,</w:t>
      </w:r>
    </w:p>
    <w:p>
      <w:pPr>
        <w:ind w:left="420"/>
      </w:pPr>
      <w:r>
        <w:t xml:space="preserve">3. Kinder der berechtigten Person oder der berücksichtigungsfähigen Person nach Nummer 1 oder Nummer 2, die beim Auslandszuschlag berücksichtigungsfähig sind oder spätestens 40 Wochen nach dem Einladen des Umzugsguts geboren worden sind,</w:t>
      </w:r>
    </w:p>
    <w:p>
      <w:pPr>
        <w:ind w:left="420"/>
      </w:pPr>
      <w:r>
        <w:t xml:space="preserve">4. der gemeinsam mit der berechtigten Person sorgeberechtigte Elternteil eines eigenen Kindes der berechtigten Person,</w:t>
      </w:r>
    </w:p>
    <w:p>
      <w:pPr>
        <w:ind w:left="420"/>
      </w:pPr>
      <w:r>
        <w:t xml:space="preserve">5. pflegebedürftige Eltern der berechtigten Person oder der berücksichtigungsfähigen Person nach Nummer 1 oder Nummer 2 (mindestens Pflegestufe I nach § 15 des Elften Buches Sozialgesetzbuch); alle weiteren Maßnahmen, die der Gesundheitszustand dieser Personen erfordert, sind im Rahmen der Umzugskosten nicht berücksichtigungsfähig, sowie</w:t>
      </w:r>
    </w:p>
    <w:p>
      <w:pPr>
        <w:ind w:left="420"/>
      </w:pPr>
      <w:r>
        <w:t xml:space="preserve">6. im Einzelfall weitere Personen, die nach § 6 Absatz 3 des Bundesumzugskostengesetzes berücksichtigungsfähig sind, soweit ihre Berücksichtigung im Einzelfall nach pflichtgemäßem Ermessen geboten ist, insbesondere, weil die berechtigte Person ihnen aufgrund gesetzlicher oder sittlicher Verpflichtung nicht nur vorübergehend Unterkunft und Unterhalt gewährt,</w:t>
      </w:r>
    </w:p>
    <w:p>
      <w:r>
        <w:t xml:space="preserve">soweit sie nach dem Umzug zur häuslichen Gemeinschaft der berechtigten Person gehören. Die Personen nach Satz 1 Nummer 4 und 6 sind nur berücksichtigungsfähig, wenn sie auch vor dem Umzug zur häuslichen Gemeinschaft der berechtigten Person gehören.</w:t>
      </w:r>
    </w:p>
    <w:p>
      <w:r>
        <w:t xml:space="preserve">(2) Eine eigene Wohnung ist eine Wohnung, deren Eigentümerin oder Eigentümer oder Hauptmieterin oder Hauptmieter die berechtigte Person oder eine berücksichtigungsfähige Person ist.</w:t>
      </w:r>
    </w:p>
    <w:p>
      <w:r>
        <w:rPr>
          <w:color w:val="555555"/>
          <w:sz w:val="17"/>
        </w:rPr>
        <w:t xml:space="preserve">Zitiervorschlag: § 2 AUV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https://recht.nulegal.eu/gesetze/AUV%202012/2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