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AUV 2012 — Wohnungsbeschaffungskosten</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Gutachterkosten, Maklerkosten, ortsübliche Mietvertragsabschlussgebühren, Kosten für Garantieerklärungen und Bürgschaften sowie vergleichbare Kosten, die beim Auszug aus der Wohnung am ausländischen Dienstort oder bei der Beschaffung einer neuen angemessenen Wohnung am ausländischen Dienstort anfallen, werden erstattet.</w:t>
      </w:r>
    </w:p>
    <w:p>
      <w:r>
        <w:t xml:space="preserve">(2) Wird dem Vermieter einer Wohnung am neuen ausländischen Dienstort eine Kaution geleistet, wird ein unverzinslicher Gehaltsvorschuss bis zum Dreifachen der Mieteigenbelastung der berechtigten Person gewährt, die sich bei entsprechender Anwendung des § 54 des Bundesbesoldungsgesetzes ergibt. Der Vorschuss ist in höchstens 20 gleichen Monatsraten zurückzuzahlen. Die Raten werden von den Dienstbezügen der berechtigten Person einbehalten. Bei vorzeitiger Versetzung oder Beendigung des Dienstverhältnisses ist der Rest des Vorschusses in einer Summe zurückzuzahlen. Soweit die ortsübliche Kaution den Gehaltsvorschuss übersteigt, wird sie erstattet.</w:t>
      </w:r>
    </w:p>
    <w:p>
      <w:r>
        <w:t xml:space="preserve">(3) Rückzahlungsansprüche gegenüber der Vermieterin oder dem Vermieter sind an den Dienstherrn abzutreten. Soweit die Kaution von der Vermieterin oder vom Vermieter berechtigterweise in Anspruch genommen wird, ist die berechtigte Person zur Rückzahlung des Erstattungsbetrags an den Dienstherrn verpflichtet.</w:t>
      </w:r>
    </w:p>
    <w:p>
      <w:r>
        <w:t xml:space="preserve">(4) Bei Umzügen aus dem Ausland ins Inland ist § 9 Absatz 1 des Bundesumzugskostengesetzes anzuwenden.</w:t>
      </w:r>
    </w:p>
    <w:p>
      <w:r>
        <w:t xml:space="preserve">(5) Soweit die Verhältnisse im Zusammenhang mit dem Bezug oder dem Auszug aus einer Wohnung am Auslandsdienstort von im Ausland typischen Verhältnissen abweichen und dies zu einer außergewöhnlichen, von der berechtigten Person nicht zu vertretenden Härte führt, kann die oberste Dienstbehörde eine Leistung zur Milderung der Härte gewähren. Die Entscheidung ist besonders zu begründen und zu dokumentieren.</w:t>
      </w:r>
    </w:p>
    <w:p>
      <w:r>
        <w:rPr>
          <w:color w:val="555555"/>
          <w:sz w:val="17"/>
        </w:rPr>
        <w:t xml:space="preserve">Zitiervorschlag: § 16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