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AUV 2012 — Reisegepäck</w:t>
      </w:r>
    </w:p>
    <w:p>
      <w:r>
        <w:rPr>
          <w:color w:val="555555"/>
          <w:sz w:val="18"/>
        </w:rPr>
        <w:t xml:space="preserve">Auslandsumzugskostenverordnung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Auslagen für die Beförderung unbegleiteten Reisegepäcks anlässlich der Umzugsreise vom bisherigen zum neuen Dienstort werden erstattet bis zu einem Gewicht des Reisegepäcks von 200 Kilogramm. Die Obergrenze erhöht sich</w:t>
      </w:r>
    </w:p>
    <w:p>
      <w:pPr>
        <w:ind w:left="420"/>
      </w:pPr>
      <w:r>
        <w:t xml:space="preserve">1. um 100 Kilogramm für die mitumziehende berücksichtigungsfähige Person nach § 2 Absatz 1 Satz 1 Nummer 1 oder Nummer 2,</w:t>
      </w:r>
    </w:p>
    <w:p>
      <w:pPr>
        <w:ind w:left="420"/>
      </w:pPr>
      <w:r>
        <w:t xml:space="preserve">2. um 50 Kilogramm für jede mitumziehende berücksichtigungsfähige Person nach § 2 Absatz 1 Satz 1 Nummer 3 bis 6 und in den Fällen des § 12 Absatz 4 für die angestellte Betreuungsperson oder Ersatzkraft.</w:t>
      </w:r>
    </w:p>
    <w:p>
      <w:r>
        <w:t xml:space="preserve">(2) Bei Flugreisen werden die Auslagen für die Beförderung unbegleiteten Luftgepäcks nach Maßgabe des Absatzes 1 erstattet. Auslagen für die Beförderung begleiteten Luftgepäcks werden bis zu 50 Prozent der Gewichtsgrenzen nach Absatz 1 erstattet, wenn</w:t>
      </w:r>
    </w:p>
    <w:p>
      <w:pPr>
        <w:ind w:left="420"/>
      </w:pPr>
      <w:r>
        <w:t xml:space="preserve">1. es aus Sicherheitsgründen notwendig ist, das Gepäck als begleitetes Luftgepäck mitzuführen, oder nicht gewährleistet ist, dass das Gepäck in einem zumutbaren Zeitraum ausgelöst werden kann, und</w:t>
      </w:r>
    </w:p>
    <w:p>
      <w:pPr>
        <w:ind w:left="420"/>
      </w:pPr>
      <w:r>
        <w:t xml:space="preserve">2. vor der Aufgabe des Gepäcks die oberste Dienstbehörde oder die von ihr ermächtigte Behörde der Erstattung zugestimmt hat.</w:t>
      </w:r>
    </w:p>
    <w:p>
      <w:r>
        <w:rPr>
          <w:color w:val="555555"/>
          <w:sz w:val="17"/>
        </w:rPr>
        <w:t xml:space="preserve">Zitiervorschlag: § 13 AUV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https://recht.nulegal.eu/gesetze/AUV%202012/13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