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AUV 2012 — Wohnungsbesichtigungsreise, Umzugsabwicklungsreise</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Die Auslagen für eine gemeinsame Reise der berechtigten Person und einer berücksichtigungsfähigen Person nach § 2 Absatz 1 Satz 1 Nummer 1, 2 oder 4 vom bisherigen an den neuen Dienstort zur Wohnungssuche (Wohnungsbesichtigungsreise) oder für eine Reise einer dieser Personen vom neuen zum bisherigen Dienstort zur Vorbereitung und Durchführung des Umzugs (Umzugsabwicklungsreise) werden mit der Maßgabe erstattet, dass gezahlt werden:</w:t>
      </w:r>
    </w:p>
    <w:p>
      <w:pPr>
        <w:ind w:left="420"/>
      </w:pPr>
      <w:r>
        <w:t xml:space="preserve">1. die Kosten der billigsten Fahrkarte für ein regelmäßig verkehrendes Beförderungsmittel und</w:t>
      </w:r>
    </w:p>
    <w:p>
      <w:pPr>
        <w:ind w:left="420"/>
      </w:pPr>
      <w:r>
        <w:t xml:space="preserve">2. Tage- und Übernachtungsgeld wie bei Dienstreisen der berechtigten Person für höchstens vier Aufenthaltstage sowie für die notwendigen Reisetage.</w:t>
      </w:r>
    </w:p>
    <w:p>
      <w:r>
        <w:t xml:space="preserve">(2) Mehreren berechtigten Personen, denen jeweils eine eigene Umzugskostenvergütung zugesagt wurde und die am neuen Dienstort eine gemeinsame Wohnung suchen, stehen die Ansprüche nach Absatz 1 nur für eine gemeinsame Reise zu.</w:t>
      </w:r>
    </w:p>
    <w:p>
      <w:r>
        <w:t xml:space="preserve">(3) Auslagen für eine Wohnungsbesichtigungsreise zu einer Dienstwohnung werden nicht erstattet.</w:t>
      </w:r>
    </w:p>
    <w:p>
      <w:r>
        <w:rPr>
          <w:color w:val="555555"/>
          <w:sz w:val="17"/>
        </w:rPr>
        <w:t xml:space="preserve">Zitiervorschlag: § 11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