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AUG 2011 — Umfang der Vorprüfung</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Der Vorstand des Amtsgerichts oder der im Rahmen der Verteilung der Justizverwaltungsgeschäfte bestimmte Richter prüft</w:t>
      </w:r>
    </w:p>
    <w:p>
      <w:pPr>
        <w:ind w:left="420"/>
      </w:pPr>
      <w:r>
        <w:t xml:space="preserve">1. in Verfahren mit förmlicher Gegenseitigkeit (§ 1 Absatz 1 Satz 1 Nummer 3), ob nach dem deutschen Recht die beabsichtigte Rechtsverfolgung hinreichende Aussicht auf Erfolg haben würde,</w:t>
      </w:r>
    </w:p>
    <w:p>
      <w:pPr>
        <w:ind w:left="420"/>
      </w:pPr>
      <w:r>
        <w:t xml:space="preserve">2. in den übrigen Fällen, ob der Antrag mutwillig oder offensichtlich unbegründet ist.</w:t>
      </w:r>
    </w:p>
    <w:p>
      <w:r>
        <w:t xml:space="preserve">Bejaht er in den Fällen des Satzes 1 Nummer 1 die Erfolgsaussicht, stellt er hierüber eine Bescheinigung aus, veranlasst deren Übersetzung in die Sprache des zu ersuchenden Staates und fügt diese Unterlagen dem Ersuchen bei.</w:t>
      </w:r>
    </w:p>
    <w:p>
      <w:r>
        <w:t xml:space="preserve">(1a) Ergeben sich aus einem weitergeleiteten Antrag für die zentrale Behörde Zweifel, ob die Voraussetzungen des Artikels 57 Absatz 2 der Verordnung (EG) Nr. 4/2009, des Artikels 3 Absatz 3 des New Yorker UN-Übereinkommens vom 20. Juni 1956 über die Geltendmachung von Unterhaltsansprüchen im Ausland oder des Artikels 11 Absatz 1 des Haager Übereinkommens über die internationale Geltendmachung der Unterhaltsansprüche von Kindern und anderen Familienangehörigen vom 23. November 2007 erfüllt sind, so leitet die zentrale Behörde die Frage dem Richter zur Beantwortung zu. Dieser verfährt erneut nach Absatz 1.</w:t>
      </w:r>
    </w:p>
    <w:p>
      <w:r>
        <w:t xml:space="preserve">(2) Hat die beabsichtigte Rechtsverfolgung keine hinreichende Aussicht auf Erfolg (Absatz 1 Satz 1 Nummer 1) oder ist der Antrag mutwillig oder offensichtlich unbegründet (Absatz 1 Satz 1 Nummer 2), lehnt der Richter die Weiterleitung des Antrages ab. Die ablehnende Entscheidung ist zu begründen und dem Antragsteller mit einer Rechtsmittelbelehrung zuzustellen. Sie ist nach § 23 des Einführungsgesetzes zum Gerichtsverfassungsgesetz anfechtbar.</w:t>
      </w:r>
    </w:p>
    <w:p>
      <w:r>
        <w:t xml:space="preserve">(3) Liegen keine Ablehnungsgründe vor, übersendet das Gericht den Antrag nebst Anlagen und vorliegenden Übersetzungen mit je drei beglaubigten Abschriften unmittelbar an die zentrale Behörde.</w:t>
      </w:r>
    </w:p>
    <w:p>
      <w:r>
        <w:t xml:space="preserve">(4) Im Anwendungsbereich des New Yorker UN-Übereinkommens vom 20. Juni 1956 über die Geltendmachung von Unterhaltsansprüchen im Ausland (BGBl. 1959 II S. 150) legt der Richter in den Fällen des Absatzes 2 Satz 1 den Antrag der zentralen Behörde zur Entscheidung über die Weiterleitung des Antrages vor.</w:t>
      </w:r>
    </w:p>
    <w:p>
      <w:r>
        <w:rPr>
          <w:color w:val="555555"/>
          <w:sz w:val="17"/>
        </w:rPr>
        <w:t xml:space="preserve">Zitiervorschlag: § 9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