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76 AUG 2011 — Übersetzungen</w:t>
      </w:r>
    </w:p>
    <w:p>
      <w:r>
        <w:rPr>
          <w:color w:val="555555"/>
          <w:sz w:val="18"/>
        </w:rPr>
        <w:t xml:space="preserve">Auslandsunterhaltsgesetz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Höhe der Vergütung für die von der zentralen Behörde veranlassten Übersetzungen richtet sich nach dem Justizvergütungs- und Entschädigungsgesetz.</w:t>
      </w:r>
    </w:p>
    <w:p>
      <w:r>
        <w:rPr>
          <w:color w:val="555555"/>
          <w:sz w:val="17"/>
        </w:rPr>
        <w:t xml:space="preserve">Zitiervorschlag: § 76 AUG 2011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https://recht.nulegal.eu/gesetze/AUG%202011/76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