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74 AUG 2011 — Vollstreckungsklausel zur Verwendung im Ausland</w:t>
      </w:r>
    </w:p>
    <w:p>
      <w:r>
        <w:rPr>
          <w:color w:val="555555"/>
          <w:sz w:val="18"/>
        </w:rPr>
        <w:t xml:space="preserve">Auslandsunterhaltsgesetz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Vollstreckungsbescheide, Arrestbefehle und einstweilige Anordnungen, deren Zwangsvollstreckung in einem anderen Vertrags- oder Mitgliedstaat betrieben werden soll, sind auch dann mit der Vollstreckungsklausel zu versehen, wenn dies für eine Zwangsvollstreckung im Inland nach § 796 Absatz 1, § 929 Absatz 1 der Zivilprozessordnung und nach § 53 Absatz 1 und § 119 des Gesetzes über das Verfahren in Familiensachen und in den Angelegenheiten der freiwilligen Gerichtsbarkeit nicht erforderlich wäre.</w:t>
      </w:r>
    </w:p>
    <w:p>
      <w:r>
        <w:rPr>
          <w:color w:val="555555"/>
          <w:sz w:val="17"/>
        </w:rPr>
        <w:t xml:space="preserve">Zitiervorschlag: § 74 AUG 2011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https://recht.nulegal.eu/gesetze/AUG%202011/74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