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AUG 2011 — Schadensersatz wegen ungerechtfertigter Vollstreckung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Wird die Zulassung der Zwangsvollstreckung auf die Beschwerde (§ 43) oder die Rechtsbeschwerde (§ 46) aufgehoben oder abgeändert, so ist der Gläubiger zum Ersatz des Schadens verpflichtet, der dem Schuldner durch die Vollstreckung des Titels oder durch eine Leistung zur Abwendung der Vollstreckung entstanden ist.</w:t>
      </w:r>
    </w:p>
    <w:p>
      <w:r>
        <w:t xml:space="preserve">(2) Das Gleiche gilt, wenn</w:t>
      </w:r>
    </w:p>
    <w:p>
      <w:pPr>
        <w:ind w:left="420"/>
      </w:pPr>
      <w:r>
        <w:t xml:space="preserve">1. die Zulassung der Zwangsvollstreckung nach § 67 aufgehoben oder abgeändert wird, sofern die zur Zwangsvollstreckung zugelassene Entscheidung zum Zeitpunkt der Zulassung nach dem Recht des Staates, in dem sie ergangen ist, noch mit einem ordentlichen Rechtsmittel angefochten werden konnte oder</w:t>
      </w:r>
    </w:p>
    <w:p>
      <w:pPr>
        <w:ind w:left="420"/>
      </w:pPr>
      <w:r>
        <w:t xml:space="preserve">2. ein nach Artikel 17 der Verordnung (EG) Nr. 4/2009 ohne Exequaturverfahren vollstreckbarer Titel im Ursprungsstaat aufgehoben wurde und der Titel zum Zeitpunkt der Zwangsvollstreckungsmaßnahme noch mit einem ordentlichen Rechtsmittel hätte angefochten werden können.</w:t>
      </w:r>
    </w:p>
    <w:p>
      <w:r>
        <w:t xml:space="preserve">(3) Für die Geltendmachung des Anspruchs ist das Gericht ausschließlich zuständig, das im ersten Rechtszug über den Antrag, den Titel mit der Vollstreckungsklausel zu versehen, entschieden hat. In den Fällen des Absatzes 2 Nummer 2 richtet sich die Zuständigkeit nach § 35 Absatz 1 und 2.</w:t>
      </w:r>
    </w:p>
    <w:p>
      <w:r>
        <w:rPr>
          <w:color w:val="555555"/>
          <w:sz w:val="17"/>
        </w:rPr>
        <w:t xml:space="preserve">Zitiervorschlag: § 69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