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AUG 2011 — Vollstreckungsabwehrantrag</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Ist ein ausländischer Titel nach der Verordnung (EG) Nr. 4/2009 ohne Exequaturverfahren vollstreckbar oder nach dieser Verordnung oder einem der in § 1 Absatz 1 Satz 1 Nummer 1 genannten Abkommen für vollstreckbar erklärt, so kann der Schuldner Einwendungen, die sich gegen den Anspruch selbst richten, in einem Verfahren nach § 120 Absatz 1 des Gesetzes über das Verfahren in Familiensachen und in den Angelegenheiten der freiwilligen Gerichtsbarkeit in Verbindung mit § 767 der Zivilprozessordnung geltend machen. Handelt es sich bei dem Titel um eine gerichtliche Entscheidung, so gilt dies nur, soweit die Gründe, auf denen die Einwendungen beruhen, erst nach dem Erlass der Entscheidung entstanden sind.</w:t>
      </w:r>
    </w:p>
    <w:p>
      <w:r>
        <w:t xml:space="preserve">(2) Ist die Zwangsvollstreckung aus einem Titel nach einem der in § 1 Absatz 1 Satz 1 Nummer 2 genannten Übereinkommen zugelassen, so kann der Schuldner Einwendungen gegen den Anspruch selbst in einem Verfahren nach § 120 Absatz 1 des Gesetzes über das Verfahren in Familiensachen und in den Angelegenheiten der freiwilligen Gerichtsbarkeit in Verbindung mit § 767 der Zivilprozessordnung nur geltend machen, wenn die Gründe, auf denen seine Einwendungen beruhen, erst entstanden sind:</w:t>
      </w:r>
    </w:p>
    <w:p>
      <w:pPr>
        <w:ind w:left="420"/>
      </w:pPr>
      <w:r>
        <w:t xml:space="preserve">1. nach Ablauf der Frist, innerhalb derer er die Beschwerde hätte einlegen können, oder</w:t>
      </w:r>
    </w:p>
    <w:p>
      <w:pPr>
        <w:ind w:left="420"/>
      </w:pPr>
      <w:r>
        <w:t xml:space="preserve">2. falls die Beschwerde eingelegt worden ist, nach Beendigung dieses Verfahrens.</w:t>
      </w:r>
    </w:p>
    <w:p>
      <w:r>
        <w:t xml:space="preserve">(3) Der Antrag nach § 120 Absatz 1 des Gesetzes über das Verfahren in Familiensachen und in den Angelegenheiten der freiwilligen Gerichtsbarkeit in Verbindung mit § 767 der Zivilprozessordnung ist bei dem Gericht zu stellen, das über den Antrag auf Erteilung der Vollstreckungsklausel entschieden hat. In den Fällen des Absatzes 1 richtet sich die Zuständigkeit nach § 35 Absatz 1 und 2.</w:t>
      </w:r>
    </w:p>
    <w:p>
      <w:r>
        <w:rPr>
          <w:color w:val="555555"/>
          <w:sz w:val="17"/>
        </w:rPr>
        <w:t xml:space="preserve">Zitiervorschlag: § 66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