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AUG 2011 — Vollstreckbarkeit ausländischer Titel</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Die Vollstreckbarkeit ausländischer Titel in Verfahren mit förmlicher Gegenseitigkeit nach § 1 Absatz 1 Satz 1 Nummer 3 richtet sich nach § 110 Absatz 1 und 2 des Gesetzes über das Verfahren in Familiensachen und in den Angelegenheiten der freiwilligen Gerichtsbarkeit. Die Rechtskraft der Entscheidung ist für die Vollstreckbarerklärung nicht erforderlich.</w:t>
      </w:r>
    </w:p>
    <w:p>
      <w:r>
        <w:t xml:space="preserve">(2) Ist der ausländische Titel für vollstreckbar zu erklären, so kann das Gericht auf Antrag einer Partei in seinem Vollstreckungsbeschluss den in dem ausländischen Titel festgesetzten Unterhaltsbetrag hinsichtlich Höhe und Dauer der zu leistenden Zahlungen abändern. Ist die ausländische Entscheidung rechtskräftig, so ist eine Abänderung nur nach Maßgabe des § 238 des Gesetzes über das Verfahren in Familiensachen und in den Angelegenheiten der freiwilligen Gerichtsbarkeit zulässig.</w:t>
      </w:r>
    </w:p>
    <w:p>
      <w:r>
        <w:rPr>
          <w:color w:val="555555"/>
          <w:sz w:val="17"/>
        </w:rPr>
        <w:t xml:space="preserve">Zitiervorschlag: § 64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