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AUG 2011 — Sonderregelungen für das Beschwerdeverfahren</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Die Frist für die Beschwerde des Antragsgegners gegen die Entscheidung über die Zulassung der Zwangsvollstreckung beträgt zwei Monate und beginnt von dem Tage an zu laufen, an dem die Entscheidung dem Antragsgegner entweder in Person oder in seiner Wohnung zugestellt worden ist, wenn der Antragsgegner seinen Wohnsitz oder seinen Sitz in einem anderen Vertragsstaat dieses Übereinkommens hat. Eine Verlängerung dieser Frist wegen weiter Entfernung ist ausgeschlossen. § 59 Absatz 2 ist nicht anzuwenden.</w:t>
      </w:r>
    </w:p>
    <w:p>
      <w:r>
        <w:t xml:space="preserve">(2) § 62 Absatz 2 und 3 ist entsprechend anzuwenden.</w:t>
      </w:r>
    </w:p>
    <w:p>
      <w:r>
        <w:rPr>
          <w:color w:val="555555"/>
          <w:sz w:val="17"/>
        </w:rPr>
        <w:t xml:space="preserve">Zitiervorschlag: § 63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