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AUG 2011 — Beschwerdeverfahren im Anwendungsbereich des Haager Übereinkommens</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Abweichend von § 59 Absatz 2 Satz 1 beträgt die Frist für die Beschwerde des Schuldners gegen die Zulassung der Zwangsvollstreckung zwei Monate, wenn die Zustellung an den Schuldner im Ausland erfolgen muss.</w:t>
      </w:r>
    </w:p>
    <w:p>
      <w:r>
        <w:t xml:space="preserve">(2) Das Oberlandesgericht kann seine Entscheidung über die Beschwerde gegen die Zulassung der Zwangsvollstreckung auf Antrag des Schuldners aussetzen, wenn gegen die Entscheidung im Ursprungsstaat ein ordentliches Rechtsmittel eingelegt wurde oder die Frist hierfür noch nicht verstrichen ist. Im letzteren Fall kann das Oberlandesgericht eine Frist bestimmen, innerhalb der das Rechtsmittel einzulegen ist. Das Gericht kann die Zwangsvollstreckung auch von einer Sicherheitsleistung abhängig machen.</w:t>
      </w:r>
    </w:p>
    <w:p>
      <w:r>
        <w:t xml:space="preserve">(3) Absatz 2 ist in Verfahren auf Feststellung der Anerkennung einer Entscheidung entsprechend anwendbar.</w:t>
      </w:r>
    </w:p>
    <w:p>
      <w:r>
        <w:rPr>
          <w:color w:val="555555"/>
          <w:sz w:val="17"/>
        </w:rPr>
        <w:t xml:space="preserve">Zitiervorschlag: § 62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