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AUG 2011 — Einschränkung der Anerkennung und Vollstreckung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Öffentliche Urkunden aus einem anderen Vertragsstaat werden nur anerkannt und vollstreckt, wenn dieser Staat die Erklärung nach Artikel 25 des Übereinkommens abgegeben hat.</w:t>
      </w:r>
    </w:p>
    <w:p>
      <w:r>
        <w:t xml:space="preserve">(2) Die Anerkennung und Vollstreckung von Entscheidungen aus einem anderen Vertragsstaat über Unterhaltsansprüche zwischen Verwandten in der Seitenlinie und zwischen Verschwägerten ist auf Verlangen des Antragsgegners zu versagen, wenn</w:t>
      </w:r>
    </w:p>
    <w:p>
      <w:pPr>
        <w:ind w:left="420"/>
      </w:pPr>
      <w:r>
        <w:t xml:space="preserve">1. nach den Sachvorschriften des Rechts desjenigen Staates, dem der Verpflichtete und der Berechtigte angehören, eine Unterhaltspflicht nicht besteht oder</w:t>
      </w:r>
    </w:p>
    <w:p>
      <w:pPr>
        <w:ind w:left="420"/>
      </w:pPr>
      <w:r>
        <w:t xml:space="preserve">2. der Verpflichtete und der Berechtigte nicht die gleiche Staatsangehörigkeit haben und keine Unterhaltspflicht nach dem am gewöhnlichen Aufenthaltsort des Verpflichteten geltenden Recht besteht.</w:t>
      </w:r>
    </w:p>
    <w:p>
      <w:r>
        <w:rPr>
          <w:color w:val="555555"/>
          <w:sz w:val="17"/>
        </w:rPr>
        <w:t xml:space="preserve">Zitiervorschlag: § 61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