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AUG 2011 — Unterstützung durch das Jugendamt</w:t>
      </w:r>
    </w:p>
    <w:p>
      <w:r>
        <w:rPr>
          <w:color w:val="555555"/>
          <w:sz w:val="18"/>
        </w:rPr>
        <w:t xml:space="preserve">Auslandsunterhaltsgesetz</w:t>
      </w:r>
    </w:p>
    <w:p>
      <w:r>
        <w:rPr>
          <w:color w:val="555555"/>
          <w:sz w:val="18"/>
        </w:rPr>
        <w:t xml:space="preserve">Stand: 10.06.2019 (konsolidierte Textfassung, kein amtliches Inkrafttretensdatum)</w:t>
      </w:r>
    </w:p>
    <w:p>
      <w:r>
        <w:t xml:space="preserve">Wird die zentrale Behörde tätig, um Unterhaltsansprüche Minderjähriger und junger Volljähriger, die das 21. Lebensjahr noch nicht vollendet haben, geltend zu machen und durchzusetzen, kann sie das Jugendamt um Unterstützung ersuchen.</w:t>
      </w:r>
    </w:p>
    <w:p>
      <w:r>
        <w:rPr>
          <w:color w:val="555555"/>
          <w:sz w:val="17"/>
        </w:rPr>
        <w:t xml:space="preserve">Zitiervorschlag: § 6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