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AUG 2011 — Statthaftigkeit und Frist der Rechtsbeschwerde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den Beschluss des Beschwerdegerichts findet die Rechtsbeschwerde statt.</w:t>
      </w:r>
    </w:p>
    <w:p>
      <w:r>
        <w:t xml:space="preserve">(2) Die Rechtsbeschwerde ist innerhalb eines Monats einzulegen.</w:t>
      </w:r>
    </w:p>
    <w:p>
      <w:r>
        <w:t xml:space="preserve">(3) Die Rechtsbeschwerdefrist beginnt mit der Zustellung des Beschlusses (§ 45 Absatz 3).</w:t>
      </w:r>
    </w:p>
    <w:p>
      <w:r>
        <w:t xml:space="preserve">(4) § 75 des Gesetzes über das Verfahren in Familiensachen und in den Angelegenheiten der freiwilligen Gerichtsbarkeit ist nicht anzuwenden.</w:t>
      </w:r>
    </w:p>
    <w:p>
      <w:r>
        <w:rPr>
          <w:color w:val="555555"/>
          <w:sz w:val="17"/>
        </w:rPr>
        <w:t xml:space="preserve">Zitiervorschlag: § 46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