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AUG 2011 — Beschwerdegericht; Einlegung der Beschwerde; Beschwerdefrist</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Beschwerdegericht ist das Oberlandesgericht.</w:t>
      </w:r>
    </w:p>
    <w:p>
      <w:r>
        <w:t xml:space="preserve">(2) Die Beschwerde gegen die im ersten Rechtszug ergangene Entscheidung über den Antrag auf Erteilung der Vollstreckungsklausel wird bei dem Gericht, dessen Beschluss angefochten wird, durch Einreichen einer Beschwerdeschrift oder durch Erklärung zu Protokoll der Geschäftsstelle eingelegt. Der Beschwerdeschrift soll die für ihre Zustellung erforderliche Zahl von Abschriften beigefügt werden.</w:t>
      </w:r>
    </w:p>
    <w:p>
      <w:r>
        <w:t xml:space="preserve">(3) § 61 des Gesetzes über das Verfahren in Familiensachen und in den Angelegenheiten der freiwilligen Gerichtsbarkeit ist nicht anzuwenden.</w:t>
      </w:r>
    </w:p>
    <w:p>
      <w:r>
        <w:t xml:space="preserve">(4) Die Beschwerde des Antragsgegners gegen die Zulassung der Zwangsvollstreckung ist einzulegen</w:t>
      </w:r>
    </w:p>
    <w:p>
      <w:pPr>
        <w:ind w:left="420"/>
      </w:pPr>
      <w:r>
        <w:t xml:space="preserve">1. im Anwendungsbereich der Verordnung (EG) Nr. 4/2009 und des Abkommens vom 19. Oktober 2005 zwischen der Europäischen Gemeinschaft und dem Königreich Dänemark über die gerichtliche Zuständigkeit und die Anerkennung und Vollstreckung von Entscheidungen in Zivil- und Handelssachen innerhalb der Frist des Artikels 32 Absatz 5 der Verordnung (EG) Nr. 4/2009,</w:t>
      </w:r>
    </w:p>
    <w:p>
      <w:pPr>
        <w:ind w:left="420"/>
      </w:pPr>
      <w:r>
        <w:t xml:space="preserve">2. im Anwendungsbereich des Übereinkommens vom 30. Oktober 2007 über die gerichtliche Zuständigkeit und die Anerkennung und Vollstreckung von Entscheidungen in Zivil- und Handelssachen</w:t>
      </w:r>
    </w:p>
    <w:p>
      <w:pPr>
        <w:ind w:left="780"/>
      </w:pPr>
      <w:r>
        <w:t xml:space="preserve">a) innerhalb eines Monats nach Zustellung, wenn der Antragsgegner seinen Wohnsitz im Inland hat, oder</w:t>
      </w:r>
    </w:p>
    <w:p>
      <w:pPr>
        <w:ind w:left="780"/>
      </w:pPr>
      <w:r>
        <w:t xml:space="preserve">b) innerhalb von zwei Monaten nach Zustellung, wenn der Antragsgegner seinen Wohnsitz im Ausland hat.</w:t>
      </w:r>
    </w:p>
    <w:p>
      <w:r>
        <w:t xml:space="preserve">Die Frist beginnt mit dem Tag, an dem die Vollstreckbarerklärung dem Antragsgegner entweder persönlich oder in seiner Wohnung zugestellt worden ist. Eine Verlängerung dieser Frist wegen weiter Entfernung ist ausgeschlossen.</w:t>
      </w:r>
    </w:p>
    <w:p>
      <w:r>
        <w:t xml:space="preserve">(5) Die Beschwerde ist dem Beschwerdegegner von Amts wegen zuzustellen.</w:t>
      </w:r>
    </w:p>
    <w:p>
      <w:r>
        <w:rPr>
          <w:color w:val="555555"/>
          <w:sz w:val="17"/>
        </w:rPr>
        <w:t xml:space="preserve">Zitiervorschlag: § 43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