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39 AUG 2011 — Vollstreckbarkeit ausländischer Titel in Sonderfällen</w:t>
      </w:r>
    </w:p>
    <w:p>
      <w:r>
        <w:rPr>
          <w:color w:val="555555"/>
          <w:sz w:val="18"/>
        </w:rPr>
        <w:t xml:space="preserve">Auslandsunterhaltsgesetz</w:t>
      </w:r>
    </w:p>
    <w:p>
      <w:r>
        <w:rPr>
          <w:color w:val="555555"/>
          <w:sz w:val="18"/>
        </w:rPr>
        <w:t xml:space="preserve">Stand: 10.06.2019 (konsolidierte Textfassung, kein amtliches Inkrafttretensdatum)</w:t>
      </w:r>
    </w:p>
    <w:p>
      <w:r>
        <w:t xml:space="preserve">(1) Hängt die Zwangsvollstreckung nach dem Inhalt des Titels von einer dem Gläubiger obliegenden Sicherheitsleistung, dem Ablauf einer Frist oder dem Eintritt einer anderen Tatsache ab oder wird die Vollstreckungsklausel zugunsten eines anderen als des in dem Titel bezeichneten Gläubigers oder gegen einen anderen als den darin bezeichneten Schuldner beantragt, so ist die Frage, inwieweit die Zulassung der Zwangsvollstreckung von dem Nachweis besonderer Voraussetzungen abhängig oder ob der Titel für oder gegen den anderen vollstreckbar ist, nach dem Recht des Staates zu entscheiden, in dem der Titel errichtet ist. Der Nachweis ist durch Urkunden zu führen, es sei denn, dass die Tatsachen bei dem Gericht offenkundig sind.</w:t>
      </w:r>
    </w:p>
    <w:p>
      <w:r>
        <w:t xml:space="preserve">(2) Kann der Nachweis durch Urkunden nicht geführt werden, so ist auf Antrag des Antragstellers der Antragsgegner zu hören. In diesem Fall sind alle Beweismittel zulässig. Das Gericht kann auch die mündliche Verhandlung anordnen.</w:t>
      </w:r>
    </w:p>
    <w:p>
      <w:r>
        <w:rPr>
          <w:color w:val="555555"/>
          <w:sz w:val="17"/>
        </w:rPr>
        <w:t xml:space="preserve">Zitiervorschlag: § 39 AUG 2011</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https://recht.nulegal.eu/gesetze/AUG%202011/39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