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AUG 2011 — Zustellungsempfänger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Antragsteller in dem Antrag keinen Zustellungsbevollmächtigten im Sinne des § 184 Absatz 1 Satz 1 der Zivilprozessordnung benannt, so können bis zur nachträglichen Benennung alle Zustellungen an ihn durch Aufgabe zur Post (§ 184 Absatz 1 Satz 2 und Absatz 2 der Zivilprozessordnung) bewirkt werden.</w:t>
      </w:r>
    </w:p>
    <w:p>
      <w:r>
        <w:t xml:space="preserve">(2) Absatz 1 gilt nicht, wenn der Antragsteller einen Verfahrensbevollmächtigten für das Verfahren benannt hat, an den im Inland zugestellt werden kann.</w:t>
      </w:r>
    </w:p>
    <w:p>
      <w:r>
        <w:t xml:space="preserve">(3) Die Absätze 1 und 2 sind auf Verfahren nach der Verordnung (EG) Nr. 4/2009 nicht anzuwenden.</w:t>
      </w:r>
    </w:p>
    <w:p>
      <w:r>
        <w:rPr>
          <w:color w:val="555555"/>
          <w:sz w:val="17"/>
        </w:rPr>
        <w:t xml:space="preserve">Zitiervorschlag: § 37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