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AUG 2011 — Gerichtliche Zuständigkeit; Zuständigkeitskonzentration; Verordnungsermächtigung</w:t>
      </w:r>
    </w:p>
    <w:p>
      <w:r>
        <w:rPr>
          <w:color w:val="555555"/>
          <w:sz w:val="18"/>
        </w:rPr>
        <w:t xml:space="preserve">Auslandsunterhaltsgesetz</w:t>
      </w:r>
    </w:p>
    <w:p>
      <w:r>
        <w:rPr>
          <w:color w:val="555555"/>
          <w:sz w:val="18"/>
        </w:rPr>
        <w:t xml:space="preserve">Stand: 28.08.2021 (konsolidierte Textfassung, kein amtliches Inkrafttretensdatum)</w:t>
      </w:r>
    </w:p>
    <w:p>
      <w:r>
        <w:t xml:space="preserve">(1) Über einen Antrag auf Feststellung der Anerkennung oder über einen Antrag auf Vollstreckbarerklärung eines ausländischen Titels nach den Abschnitten 3 bis 5 entscheidet ausschließlich das Amtsgericht, das für den Sitz des Oberlandesgerichts zuständig ist, in dessen Zuständigkeitsbezirk</w:t>
      </w:r>
    </w:p>
    <w:p>
      <w:pPr>
        <w:ind w:left="420"/>
      </w:pPr>
      <w:r>
        <w:t xml:space="preserve">1. sich die Person, gegen die sich der Titel richtet, gewöhnlich aufhält oder</w:t>
      </w:r>
    </w:p>
    <w:p>
      <w:pPr>
        <w:ind w:left="420"/>
      </w:pPr>
      <w:r>
        <w:t xml:space="preserve">2. die Vollstreckung durchgeführt werden soll.</w:t>
      </w:r>
    </w:p>
    <w:p>
      <w:r>
        <w:t xml:space="preserve">Für den Bezirk des Kammergerichts entscheidet das Amtsgericht Pankow.</w:t>
      </w:r>
    </w:p>
    <w:p>
      <w:r>
        <w:t xml:space="preserve">(2) Die Landesregierungen werden ermächtigt, diese Zuständigkeit durch Rechtsverordnung einem anderen Amtsgericht des Oberlandesgerichtsbezirks oder, wenn in einem Land mehrere Oberlandesgerichte errichtet sind, einem Amtsgericht für die Bezirke aller oder mehrerer Oberlandesgerichte zuzuweisen. Die Landesregierungen können diese Ermächtigung durch Rechtsverordnung auf die Landesjustizverwaltungen übertragen.</w:t>
      </w:r>
    </w:p>
    <w:p>
      <w:r>
        <w:t xml:space="preserve">(3) In einem Verfahren, das die Vollstreckbarerklärung einer notariellen Urkunde zum Gegenstand hat, kann diese Urkunde auch von einem Notar für vollstreckbar erklärt werden im Anwendungsbereich</w:t>
      </w:r>
    </w:p>
    <w:p>
      <w:pPr>
        <w:ind w:left="420"/>
      </w:pPr>
      <w:r>
        <w:t xml:space="preserve">1. der Verordnung (EG) Nr. 4/2009 oder</w:t>
      </w:r>
    </w:p>
    <w:p>
      <w:pPr>
        <w:ind w:left="420"/>
      </w:pPr>
      <w:r>
        <w:t xml:space="preserve">2. des Übereinkommens vom 30. Oktober 2007 über die gerichtliche Zuständigkeit und die Anerkennung und Vollstreckung von Entscheidungen in Zivil- und Handelssachen.</w:t>
      </w:r>
    </w:p>
    <w:p>
      <w:r>
        <w:t xml:space="preserve">Die Vorschriften für das Verfahren der Vollstreckbarerklärung durch ein Gericht gelten sinngemäß.</w:t>
      </w:r>
    </w:p>
    <w:p>
      <w:r>
        <w:rPr>
          <w:color w:val="555555"/>
          <w:sz w:val="17"/>
        </w:rPr>
        <w:t xml:space="preserve">Zitiervorschlag: § 35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