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 AUG 2011 — Einstweilige Einstellung bei Wiedereinsetzung, Rechtsmittel und Einspruch</w:t>
      </w:r>
    </w:p>
    <w:p>
      <w:r>
        <w:rPr>
          <w:color w:val="555555"/>
          <w:sz w:val="18"/>
        </w:rPr>
        <w:t xml:space="preserve">Auslandsunterhaltsgesetz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Hat der Schuldner im Ursprungsstaat Wiedereinsetzung beantragt oder gegen die zu vollstreckende Entscheidung einen Rechtsbehelf oder ein Rechtsmittel eingelegt, gelten die §§ 707, 719 Absatz 1 der Zivilprozessordnung und § 120 Absatz 2 Satz 2 und 3 des Gesetzes über das Verfahren in Familiensachen und in den Angelegenheiten der freiwilligen Gerichtsbarkeit.</w:t>
      </w:r>
    </w:p>
    <w:p>
      <w:r>
        <w:t xml:space="preserve">(2) Zuständig ist das in § 35 Absatz 1 und 2 bestimmte Gericht.</w:t>
      </w:r>
    </w:p>
    <w:p>
      <w:r>
        <w:rPr>
          <w:color w:val="555555"/>
          <w:sz w:val="17"/>
        </w:rPr>
        <w:t xml:space="preserve">Zitiervorschlag: § 33 AUG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https://recht.nulegal.eu/gesetze/AUG%202011/33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