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 AUG 2011 — Anträge auf Verweigerung, Beschränkung oder Aussetzung der Vollstreckung nach Artikel 21 der Verordnung (EG) Nr. 4/2009</w:t>
      </w:r>
    </w:p>
    <w:p>
      <w:r>
        <w:rPr>
          <w:color w:val="555555"/>
          <w:sz w:val="18"/>
        </w:rPr>
        <w:t xml:space="preserve">Auslandsunterhaltsgesetz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Anträge auf Verweigerung, Beschränkung oder Aussetzung der Vollstreckung nach Artikel 21 der Verordnung (EG) Nr. 4/2009 ist das Amtsgericht als Vollstreckungsgericht zuständig. Örtlich zuständig ist das in § 764 Absatz 2 der Zivilprozessordnung benannte Gericht.</w:t>
      </w:r>
    </w:p>
    <w:p>
      <w:r>
        <w:t xml:space="preserve">(2) Die Entscheidung über den Antrag auf Verweigerung der Vollstreckung (Artikel 21 Absatz 2 der Verordnung (EG) Nr. 4/2009) ergeht durch Beschluss. § 770 der Zivilprozessordnung ist entsprechend anzuwenden. Der Beschluss unterliegt der sofortigen Beschwerde nach § 793 der Zivilprozessordnung. Bis zur Entscheidung nach Satz 1 kann das Gericht Anordnungen nach § 769 Absatz 1 und 3 der Zivilprozessordnung treffen.</w:t>
      </w:r>
    </w:p>
    <w:p>
      <w:r>
        <w:t xml:space="preserve">(3) Über den Antrag auf Aussetzung oder Beschränkung der Zwangsvollstreckung (Artikel 21 Absatz 3 der Verordnung (EG) Nr. 4/2009) entscheidet das Gericht durch einstweilige Anordnung. Die Entscheidung ist unanfechtbar.</w:t>
      </w:r>
    </w:p>
    <w:p>
      <w:r>
        <w:rPr>
          <w:color w:val="555555"/>
          <w:sz w:val="17"/>
        </w:rPr>
        <w:t xml:space="preserve">Zitiervorschlag: § 31 AUG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https://recht.nulegal.eu/gesetze/AUG%202011/31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