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AUG 2011 — Verzicht auf Vollstreckungsklausel; Unterlagen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Liegen die Voraussetzungen der Artikel 17 oder 48 der Verordnung (EG) Nr. 4/2009 vor, findet die Vollstreckung aus dem ausländischen Titel statt, ohne dass es einer Vollstreckungsklausel bedarf.</w:t>
      </w:r>
    </w:p>
    <w:p>
      <w:r>
        <w:t xml:space="preserve">(2) Das Formblatt, das dem Vollstreckungsorgan nach Artikel 20 Absatz 1 Buchstabe b oder Artikel 48 Absatz 3 der Verordnung (EG) Nr. 4/2009 vorzulegen ist, soll mit dem zu vollstreckenden Titel untrennbar verbunden sein.</w:t>
      </w:r>
    </w:p>
    <w:p>
      <w:r>
        <w:t xml:space="preserve">(3) Hat der Gläubiger nach Artikel 20 Absatz 1 Buchstabe d der Verordnung (EG) Nr. 4/2009 eine Übersetzung oder ein Transkript vorzulegen, so sind diese Unterlagen von einer Person, die in einem der Mitgliedstaaten hierzu befugt ist, in die deutsche Sprache zu übersetzen.</w:t>
      </w:r>
    </w:p>
    <w:p>
      <w:r>
        <w:rPr>
          <w:color w:val="555555"/>
          <w:sz w:val="17"/>
        </w:rPr>
        <w:t xml:space="preserve">Zitiervorschlag: § 30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