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AUG 2011 — Örtliche Zuständigkeit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Örtlich zuständig nach Artikel 3 Buchstabe c der Verordnung (EG) Nr. 4/2009 ist das Amtsgericht,</w:t>
      </w:r>
    </w:p>
    <w:p>
      <w:pPr>
        <w:ind w:left="420"/>
      </w:pPr>
      <w:r>
        <w:t xml:space="preserve">1. bei dem die Ehe- oder Lebenspartnerschaftssache im ersten Rechtszug anhängig ist oder war, solange die Ehe- oder Lebenspartnerschaftssache anhängig ist;</w:t>
      </w:r>
    </w:p>
    <w:p>
      <w:pPr>
        <w:ind w:left="420"/>
      </w:pPr>
      <w:r>
        <w:t xml:space="preserve">2. bei dem das Verfahren auf Feststellung der Vaterschaft im ersten Rechtszug anhängig ist, wenn Kindesunterhalt im Rahmen eines Abstammungsverfahrens geltend gemacht wird.</w:t>
      </w:r>
    </w:p>
    <w:p>
      <w:r>
        <w:t xml:space="preserve">In den Fällen des Satzes 1 Nummer 2 gilt für den Erlass einer einstweiligen Anordnung § 248 Absatz 2 des Gesetzes über das Verfahren in Familiensachen und in den Angelegenheiten der freiwilligen Gerichtsbarkeit.</w:t>
      </w:r>
    </w:p>
    <w:p>
      <w:r>
        <w:t xml:space="preserve">(2) § 233 des Gesetzes über das Verfahren in Familiensachen und in den Angelegenheiten der freiwilligen Gerichtsbarkeit bleibt unberührt.</w:t>
      </w:r>
    </w:p>
    <w:p>
      <w:r>
        <w:rPr>
          <w:color w:val="555555"/>
          <w:sz w:val="17"/>
        </w:rPr>
        <w:t xml:space="preserve">Zitiervorschlag: § 26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