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AUG 2011 — Internationale Zuständigkeit nach Artikel 3 Buchstabe c der Verordnung (EG) Nr. 4/2009</w:t>
      </w:r>
    </w:p>
    <w:p>
      <w:r>
        <w:rPr>
          <w:color w:val="555555"/>
          <w:sz w:val="18"/>
        </w:rPr>
        <w:t xml:space="preserve">Auslandsunterhaltsgesetz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deutschen Gerichte sind in Unterhaltssachen nach Artikel 3 Buchstabe c der Verordnung (EG) Nr. 4/2009 zuständig, wenn</w:t>
      </w:r>
    </w:p>
    <w:p>
      <w:pPr>
        <w:ind w:left="420"/>
      </w:pPr>
      <w:r>
        <w:t xml:space="preserve">1. Unterhalt im Scheidungs- oder Aufhebungsverbund geltend gemacht wird und die deutschen Gerichte für die Ehe- oder die Lebenspartnerschaftssache nach den folgenden Bestimmungen zuständig sind:</w:t>
      </w:r>
    </w:p>
    <w:p>
      <w:pPr>
        <w:ind w:left="780"/>
      </w:pPr>
      <w:r>
        <w:t xml:space="preserve">a) im Anwendungsbereich der Verordnung (EU) 2019/1111 des Rates vom 25. Juni 2019 über die Zuständigkeit, die Anerkennung und Vollstreckung von Entscheidungen in Ehesachen und in Verfahren betreffend die elterliche Verantwortung und über internationale Kindesentführungen (ABl. L 178 vom 2.7.2019, S. 1) nach Artikel 3 der Verordnung (EU) 2019/1111,</w:t>
      </w:r>
    </w:p>
    <w:p>
      <w:pPr>
        <w:ind w:left="780"/>
      </w:pPr>
      <w:r>
        <w:t xml:space="preserve">b) nach § 98 Absatz 1 des Gesetzes über das Verfahren in Familiensachen und in den Angelegenheiten der freiwilligen Gerichtsbarkeit oder</w:t>
      </w:r>
    </w:p>
    <w:p>
      <w:pPr>
        <w:ind w:left="780"/>
      </w:pPr>
      <w:r>
        <w:t xml:space="preserve">c) nach § 103 Absatz 1 des Gesetzes über das Verfahren in Familiensachen und in den Angelegenheiten der freiwilligen Gerichtsbarkeit;</w:t>
      </w:r>
    </w:p>
    <w:p>
      <w:pPr>
        <w:ind w:left="420"/>
      </w:pPr>
      <w:r>
        <w:t xml:space="preserve">2. Unterhalt in einem Verfahren auf Feststellung der Vaterschaft eines Kindes geltend gemacht wird und die deutschen Gerichte für das Verfahren auf Feststellung der Vaterschaft international zuständig sind nach</w:t>
      </w:r>
    </w:p>
    <w:p>
      <w:pPr>
        <w:ind w:left="780"/>
      </w:pPr>
      <w:r>
        <w:t xml:space="preserve">a) § 100 Nummer 1 des Gesetzes über das Verfahren in Familiensachen und in den Angelegenheiten der freiwilligen Gerichtsbarkeit und sowohl der Berechtigte als auch der Verpflichtete Deutsche sind,</w:t>
      </w:r>
    </w:p>
    <w:p>
      <w:pPr>
        <w:ind w:left="780"/>
      </w:pPr>
      <w:r>
        <w:t xml:space="preserve">b) § 100 Nummer 2 des Gesetzes über das Verfahren in Familiensachen und in den Angelegenheiten der freiwilligen Gerichtsbarkeit.</w:t>
      </w:r>
    </w:p>
    <w:p>
      <w:r>
        <w:t xml:space="preserve">(2) Absatz 1 Nummer 1 Buchstabe b und c ist nicht anzuwenden, wenn deutsche Gerichte auf Grund der deutschen Staatsangehörigkeit nur eines der Beteiligten zuständig sind.</w:t>
      </w:r>
    </w:p>
    <w:p>
      <w:r>
        <w:rPr>
          <w:color w:val="555555"/>
          <w:sz w:val="17"/>
        </w:rPr>
        <w:t xml:space="preserve">Zitiervorschlag: § 25 AUG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https://recht.nulegal.eu/gesetze/AUG%202011/25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