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AUG 2011 — Zuständigkeit für Anträge auf Verfahrenskostenhilfe nach der Richtlinie 2003/8/EG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28.08.2021 (konsolidierte Textfassung, kein amtliches Inkrafttretensdatum)</w:t>
      </w:r>
    </w:p>
    <w:p>
      <w:r>
        <w:t xml:space="preserve">(1) Abweichend von § 1077 Absatz 1 Satz 1 der Zivilprozessordnung erfolgt in Unterhaltssachen die Entgegennahme und Übermittlung von Anträgen natürlicher Personen auf grenzüberschreitende Verfahrenskostenhilfe nach § 1076 der Zivilprozessordnung durch das für den Sitz des Oberlandesgerichts, in dessen Bezirk der Antragsteller seinen gewöhnlichen Aufenthalt hat, zuständige Amtsgericht. Für den Bezirk des Kammergerichts entscheidet das Amtsgericht Pankow.</w:t>
      </w:r>
    </w:p>
    <w:p>
      <w:r>
        <w:t xml:space="preserve">(2) Für eingehende Ersuchen gilt § 1078 Absatz 1 Satz 1 der Zivilprozessordnung.</w:t>
      </w:r>
    </w:p>
    <w:p>
      <w:r>
        <w:rPr>
          <w:color w:val="555555"/>
          <w:sz w:val="17"/>
        </w:rPr>
        <w:t xml:space="preserve">Zitiervorschlag: § 21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