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AUG 2011 — Voraussetzungen für die Bewilligung von Verfahrenskostenhilfe</w:t>
      </w:r>
    </w:p>
    <w:p>
      <w:r>
        <w:rPr>
          <w:color w:val="555555"/>
          <w:sz w:val="18"/>
        </w:rPr>
        <w:t xml:space="preserve">Auslandsunterhaltsgesetz</w:t>
      </w:r>
    </w:p>
    <w:p>
      <w:r>
        <w:rPr>
          <w:color w:val="555555"/>
          <w:sz w:val="18"/>
        </w:rPr>
        <w:t xml:space="preserve">Stand: 10.06.2019 (konsolidierte Textfassung, kein amtliches Inkrafttretensdatum)</w:t>
      </w:r>
    </w:p>
    <w:p>
      <w:r>
        <w:t xml:space="preserve">Auf die Bewilligung von Verfahrenskostenhilfe ist § 113 Absatz 1 des Gesetzes über das Verfahren in Familiensachen und in den Angelegenheiten der freiwilligen Gerichtsbarkeit in Verbindung mit den §§ 114 bis 127 der Zivilprozessordnung entsprechend anzuwenden, soweit in diesem Gesetz nichts anderes bestimmt ist.</w:t>
      </w:r>
    </w:p>
    <w:p>
      <w:r>
        <w:rPr>
          <w:color w:val="555555"/>
          <w:sz w:val="17"/>
        </w:rPr>
        <w:t xml:space="preserve">Zitiervorschlag: § 20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