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AUG 2011 — Benachrichtigung über die Datenerhebung</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Die zentrale Behörde benachrichtigt den Antragsteller grundsätzlich nur darüber, ob ein Auskunftsersuchen nach den §§ 16 und 17 erfolgreich war.</w:t>
      </w:r>
    </w:p>
    <w:p>
      <w:r>
        <w:t xml:space="preserve">(2) Die zentrale Behörde hat den Betroffenen unverzüglich über die Erhebung von Daten nach den §§ 16 und 17 zu benachrichtigen, es sei denn, die Vollstreckung des Titels würde dadurch vereitelt oder wesentlich erschwert werden. Ungeachtet des Satzes 1 hat die Benachrichtigung spätestens 90 Tage nach Erhalt der Auskunft zu erfolgen.</w:t>
      </w:r>
    </w:p>
    <w:p>
      <w:r>
        <w:rPr>
          <w:color w:val="555555"/>
          <w:sz w:val="17"/>
        </w:rPr>
        <w:t xml:space="preserve">Zitiervorschlag: § 18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