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AUG 2011 — Auskunftsrecht zum Zweck der Anerkennung, Vollstreckbarerklärung und Vollstreckung eines Titels</w:t>
      </w:r>
    </w:p>
    <w:p>
      <w:r>
        <w:rPr>
          <w:color w:val="555555"/>
          <w:sz w:val="18"/>
        </w:rPr>
        <w:t xml:space="preserve">Auslandsunterhaltsgesetz</w:t>
      </w:r>
    </w:p>
    <w:p>
      <w:r>
        <w:rPr>
          <w:color w:val="555555"/>
          <w:sz w:val="18"/>
        </w:rPr>
        <w:t xml:space="preserve">Stand: 01.01.2022 (konsolidierte Textfassung, kein amtliches Inkrafttretensdatum)</w:t>
      </w:r>
    </w:p>
    <w:p>
      <w:r>
        <w:t xml:space="preserve">(1) Ist die Unterhaltsforderung tituliert und weigert sich der Schuldner, auf Verlangen der zentralen Behörde Auskunft über sein Einkommen und Vermögen zu erteilen, oder ist bei einer Vollstreckung in die vom Schuldner angegebenen Vermögensgegenstände eine vollständige Befriedigung des Gläubigers nicht zu erwarten, stehen der zentralen Behörde zum Zweck der Anerkennung, Vollstreckbarerklärung und Vollstreckung eines Titels die in § 16 geregelten Auskunftsrechte zu. Die zentrale Behörde darf nach vorheriger Androhung außerdem</w:t>
      </w:r>
    </w:p>
    <w:p>
      <w:pPr>
        <w:ind w:left="420"/>
      </w:pPr>
      <w:r>
        <w:t xml:space="preserve">1. bei den Trägern der gesetzlichen Rentenversicherung und bei einer berufsständischen Versorgungseinrichtung im Sinne des § 6 Absatz 1 Satz 1 Nummer 1 des Sechsten Buches Sozialgesetzbuch den Namen und die Vornamen oder die Firma sowie die Anschrift der derzeitigen Arbeitgeber des Schuldners erheben;</w:t>
      </w:r>
    </w:p>
    <w:p>
      <w:pPr>
        <w:ind w:left="420"/>
      </w:pPr>
      <w:r>
        <w:t xml:space="preserve">2. bei dem zuständigen Träger der Grundsicherung für Arbeitsuchende einen Leistungsbezug nach dem Zweiten Buch Sozialgesetzbuch – Grundsicherung für Arbeitsuchende – abfragen;</w:t>
      </w:r>
    </w:p>
    <w:p>
      <w:pPr>
        <w:ind w:left="420"/>
      </w:pPr>
      <w:r>
        <w:t xml:space="preserve">3. das Bundeszentralamt für Steuern ersuchen, bei den Kreditinstituten die in § 93b Absatz 1 der Abgabenordnung bezeichneten Daten des Schuldners abzurufen (§ 93 Absatz 8 der Abgabenordnung);</w:t>
      </w:r>
    </w:p>
    <w:p>
      <w:pPr>
        <w:ind w:left="420"/>
      </w:pPr>
      <w:r>
        <w:t xml:space="preserve">4. vom Kraftfahrt-Bundesamt die Fahrzeug- und Halterdaten nach § 33 Absatz 1 des Straßenverkehrsgesetzes zu einem Fahrzeug, als dessen Halter der Schuldner eingetragen ist, erheben.</w:t>
      </w:r>
    </w:p>
    <w:p>
      <w:r>
        <w:t xml:space="preserve">Die Erhebung nach Satz 2 Nummer 1 bei einer berufsständischen Versorgungseinrichtung darf die zentrale Behörde nur durchführen, wenn tatsächliche Anhaltspunkte nahelegen, dass der Schuldner Mitglied dieser berufsständischen Versorgungseinrichtung ist.</w:t>
      </w:r>
    </w:p>
    <w:p>
      <w:r>
        <w:t xml:space="preserve">(2) Daten über das Vermögen des Schuldners darf die zentrale Behörde nur erheben, wenn dies für die Vollstreckung erforderlich ist.</w:t>
      </w:r>
    </w:p>
    <w:p>
      <w:r>
        <w:rPr>
          <w:color w:val="555555"/>
          <w:sz w:val="17"/>
        </w:rPr>
        <w:t xml:space="preserve">Zitiervorschlag: § 17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