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AUG 2011 — Auskunftsrecht der zentralen Behörde zur Herbeiführung oder Änderung eines Titels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Ist der gegenwärtige Aufenthaltsort des Berechtigten oder des Verpflichteten nicht bekannt, so darf die zentrale Behörde zur Erfüllung der ihr nach § 5 obliegenden Aufgaben bei einer zuständigen Meldebehörde Angaben zu dessen Anschriften sowie zu dessen Haupt- und Nebenwohnung erheben.</w:t>
      </w:r>
    </w:p>
    <w:p>
      <w:r>
        <w:t xml:space="preserve">(2) Soweit der Aufenthaltsort nach Absatz 1 nicht zu ermitteln ist, darf die zentrale Behörde folgende Daten erheben:</w:t>
      </w:r>
    </w:p>
    <w:p>
      <w:pPr>
        <w:ind w:left="420"/>
      </w:pPr>
      <w:r>
        <w:t xml:space="preserve">1. von den Trägern der gesetzlichen Rentenversicherung und von einer berufsständischen Versorgungseinrichtung im Sinne des § 6 Absatz 1 Satz 1 Nummer 1 des Sechsten Buches Sozialgesetzbuch die dort bekannte derzeitige Anschrift, den derzeitigen oder zukünftigen Aufenthaltsort der betroffenen Person;</w:t>
      </w:r>
    </w:p>
    <w:p>
      <w:pPr>
        <w:ind w:left="420"/>
      </w:pPr>
      <w:r>
        <w:t xml:space="preserve">2. vom Kraftfahrt-Bundesamt die Halterdaten der betroffenen Person nach § 33 Absatz 1 Satz 1 Nummer 2 des Straßenverkehrsgesetzes;</w:t>
      </w:r>
    </w:p>
    <w:p>
      <w:pPr>
        <w:ind w:left="420"/>
      </w:pPr>
      <w:r>
        <w:t xml:space="preserve">3. wenn der Betroffene ausländischen Streitkräften angehört, die in Deutschland stationiert sind, von der zuständigen Behörde der Truppe die ladungsfähige Anschrift der betroffenen Person.</w:t>
      </w:r>
    </w:p>
    <w:p>
      <w:r>
        <w:t xml:space="preserve">Die Erhebung nach Satz 1 Nummer 1 bei einer berufsständischen Versorgungseinrichtung darf die zentrale Behörde nur durchführen, wenn tatsächliche Anhaltspunkte nahelegen, dass die betroffene Person Mitglied dieser berufsständischen Versorgungseinrichtung ist.</w:t>
      </w:r>
    </w:p>
    <w:p>
      <w:r>
        <w:t xml:space="preserve">(3) Kann die zentrale Behörde den Aufenthaltsort des Verpflichteten nach den Absätzen 1 und 2 nicht ermitteln, darf sie einen Suchvermerk im Zentralregister veranlassen.</w:t>
      </w:r>
    </w:p>
    <w:p>
      <w:r>
        <w:rPr>
          <w:color w:val="555555"/>
          <w:sz w:val="17"/>
        </w:rPr>
        <w:t xml:space="preserve">Zitiervorschlag: § 16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