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AUG 2011 — Anwendungsbereich</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Dieses Gesetz dient</w:t>
      </w:r>
    </w:p>
    <w:p>
      <w:pPr>
        <w:ind w:left="420"/>
      </w:pPr>
      <w:r>
        <w:t xml:space="preserve">1. der Durchführung folgender Verordnung und folgender Abkommen der Europäischen Union:</w:t>
      </w:r>
    </w:p>
    <w:p>
      <w:pPr>
        <w:ind w:left="780"/>
      </w:pPr>
      <w:r>
        <w:t xml:space="preserve">a) der Verordnung (EG) Nr. 4/2009 des Rates vom 18. Dezember 2008 über die Zuständigkeit, das anwendbare Recht, die Anerkennung und Vollstreckung von Entscheidungen und die Zusammenarbeit in Unterhaltssachen (ABl. L 7 vom 10.1.2009, S. 1);</w:t>
      </w:r>
    </w:p>
    <w:p>
      <w:pPr>
        <w:ind w:left="780"/>
      </w:pPr>
      <w:r>
        <w:t xml:space="preserve">b) des Abkommens vom 19. Oktober 2005 zwischen der Europäischen Gemeinschaft und dem Königreich Dänemark über die gerichtliche Zuständigkeit und die Anerkennung und Vollstreckung von Entscheidungen in Zivil- und Handelssachen (ABl. L 299 vom 16.11.2005, S. 62), soweit dieses Abkommen auf Unterhaltssachen anzuwenden ist;</w:t>
      </w:r>
    </w:p>
    <w:p>
      <w:pPr>
        <w:ind w:left="780"/>
      </w:pPr>
      <w:r>
        <w:t xml:space="preserve">c) des Übereinkommens vom 30. Oktober 2007 über die gerichtliche Zuständigkeit und die Anerkennung und Vollstreckung von Entscheidungen in Zivil- und Handelssachen (ABl. L 339 vom 21.12.2007, S. 3), soweit dieses Übereinkommen auf Unterhaltssachen anzuwenden ist;</w:t>
      </w:r>
    </w:p>
    <w:p>
      <w:pPr>
        <w:ind w:left="420"/>
      </w:pPr>
      <w:r>
        <w:t xml:space="preserve">2. der Ausführung folgender völkerrechtlicher Verträge:</w:t>
      </w:r>
    </w:p>
    <w:p>
      <w:pPr>
        <w:ind w:left="780"/>
      </w:pPr>
      <w:r>
        <w:t xml:space="preserve">a) des Haager Übereinkommens vom 23. November 2007 über die internationale Geltendmachung der Unterhaltsansprüche von Kindern und anderen Familienangehörigen (ABl. L 192 vom 22.7.2011, S. 51) nach Maßgabe des Beschlusses des Rates der Europäischen Union vom 9. Juni 2011 (ABl. L 192 vom 22.7.2011, S. 39) über die Genehmigung dieses Übereinkommens;</w:t>
      </w:r>
    </w:p>
    <w:p>
      <w:pPr>
        <w:ind w:left="780"/>
      </w:pPr>
      <w:r>
        <w:t xml:space="preserve">b) des Haager Übereinkommens vom 2. Oktober 1973 über die Anerkennung und Vollstreckung von Unterhaltsentscheidungen (BGBl. 1986 II S. 826);</w:t>
      </w:r>
    </w:p>
    <w:p>
      <w:pPr>
        <w:ind w:left="780"/>
      </w:pPr>
      <w:r>
        <w:t xml:space="preserve">c) des Übereinkommens vom 16. September 1988 über die gerichtliche Zuständigkeit und die Vollstreckung gerichtlicher Entscheidungen in Zivil- und Handelssachen (BGBl. 1994 II S. 2658), soweit dieses Übereinkommen auf Unterhaltssachen anzuwenden ist;</w:t>
      </w:r>
    </w:p>
    <w:p>
      <w:pPr>
        <w:ind w:left="780"/>
      </w:pPr>
      <w:r>
        <w:t xml:space="preserve">d) des New Yorker UN-Übereinkommens vom 20. Juni 1956 über die Geltendmachung von Unterhaltsansprüchen im Ausland (BGBl. 1959 II S. 150);</w:t>
      </w:r>
    </w:p>
    <w:p>
      <w:pPr>
        <w:ind w:left="420"/>
      </w:pPr>
      <w:r>
        <w:t xml:space="preserve">3. der Geltendmachung von gesetzlichen Unterhaltsansprüchen, wenn eine der Parteien im Geltungsbereich dieses Gesetzes und die andere Partei in einem anderen Staat, mit dem die Gegenseitigkeit verbürgt ist, ihren gewöhnlichen Aufenthalt hat.</w:t>
      </w:r>
    </w:p>
    <w:p>
      <w:r>
        <w:t xml:space="preserve">Die Gegenseitigkeit nach Satz 1 Nummer 3 ist verbürgt, wenn das Bundesministerium der Justiz und für Verbraucherschutz dies festgestellt und im Bundesgesetzblatt bekannt gemacht hat (förmliche Gegenseitigkeit). Staaten im Sinne des Satzes 1 Nummer 3 sind auch Teilstaaten und Provinzen eines Bundesstaates.</w:t>
      </w:r>
    </w:p>
    <w:p>
      <w:r>
        <w:t xml:space="preserve">(2) Regelungen in völkerrechtlichen Vereinbarungen gehen, soweit sie unmittelbar anwendbares innerstaatliches Recht geworden sind, den Vorschriften dieses Gesetzes vor. Die Regelungen der in Absatz 1 Satz 1 Nummer 1 genannten Verordnung und Abkommen werden als unmittelbar geltendes Recht der Europäischen Union durch die Durchführungsbestimmungen dieses Gesetzes nicht berührt.</w:t>
      </w:r>
    </w:p>
    <w:p>
      <w:r>
        <w:rPr>
          <w:color w:val="555555"/>
          <w:sz w:val="17"/>
        </w:rPr>
        <w:t xml:space="preserve">Zitiervorschlag: § 1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https://recht.nulegal.eu/gesetze/AUG%202011/1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