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AUFGABENERFUELLUNG_BFSG (Brandenburg)</w:t>
      </w:r>
    </w:p>
    <w:p>
      <w:r>
        <w:rPr>
          <w:color w:val="555555"/>
          <w:sz w:val="18"/>
        </w:rPr>
        <w:t xml:space="preserve">Gesetz zu dem 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13 Absatz 1 Satz 4 in Kraft tritt, ist im Gesetz- und Verordnungsblatt für das Land Brandenburg Teil I bekannt zu geben.</w:t>
      </w:r>
    </w:p>
    <w:p>
      <w:r>
        <w:t xml:space="preserve">Potsdam, den 22. Mai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Staatsvertrag zur Aufgabenerfüllung nach dem Barrierefreiheitsstärkungsgesetz 344.7 KB</w:t>
      </w:r>
    </w:p>
    <w:p>
      <w:r>
        <w:rPr>
          <w:color w:val="555555"/>
          <w:sz w:val="17"/>
        </w:rPr>
        <w:t xml:space="preserve">Zitiervorschlag: § 2 AUFGABENERFUELLUNG_BFSG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https://recht.nulegal.eu/gesetze/AUFGABENERFUELLUNG_BFSG/2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