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ATZV — (Inkrafttreten)</w:t>
      </w:r>
    </w:p>
    <w:p>
      <w:r>
        <w:rPr>
          <w:color w:val="555555"/>
          <w:sz w:val="18"/>
        </w:rPr>
        <w:t xml:space="preserve">Altersteilzeitzuschlagsverordnung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