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ATZV — Ausgleich bei vorzeitiger Beendigung der Altersteilzeit</w:t>
      </w:r>
    </w:p>
    <w:p>
      <w:r>
        <w:rPr>
          <w:color w:val="555555"/>
          <w:sz w:val="18"/>
        </w:rPr>
        <w:t xml:space="preserve">Altersteilzeitzuschlagsverordnung</w:t>
      </w:r>
    </w:p>
    <w:p>
      <w:r>
        <w:rPr>
          <w:color w:val="555555"/>
          <w:sz w:val="18"/>
        </w:rPr>
        <w:t xml:space="preserve">Stand: 10.06.2019 (konsolidierte Textfassung, kein amtliches Inkrafttretensdatum)</w:t>
      </w:r>
    </w:p>
    <w:p>
      <w:r>
        <w:t xml:space="preserve">Wenn die Altersteilzeit mit ungleichmäßiger Verteilung der Arbeitszeit (Blockmodell) vorzeitig endet und die insgesamt gezahlten Altersteilzeitbezüge geringer sind als die Besoldung, die nach der tatsächlichen Beschäftigung ohne Altersteilzeit zugestanden hätte, ist ein Ausgleich in Höhe des Unterschiedsbetrages zu gewähren. Dabei bleiben Zeiten ohne Dienstleistung in der Arbeitsphase, soweit sie insgesamt sechs Monate überschreiten, unberücksichtigt. Abweichendes Landesrecht bleibt unberührt.</w:t>
      </w:r>
    </w:p>
    <w:p>
      <w:r>
        <w:rPr>
          <w:color w:val="555555"/>
          <w:sz w:val="17"/>
        </w:rPr>
        <w:t xml:space="preserve">Zitiervorschlag: § 2a 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https://recht.nulegal.eu/gesetze/ATZV/2a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