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ATZV — Gewährung eines Altersteilzeitzuschlags</w:t>
      </w:r>
    </w:p>
    <w:p>
      <w:r>
        <w:rPr>
          <w:color w:val="555555"/>
          <w:sz w:val="18"/>
        </w:rPr>
        <w:t xml:space="preserve">Altersteilzeitzuschlagsverordnung</w:t>
      </w:r>
    </w:p>
    <w:p>
      <w:r>
        <w:rPr>
          <w:color w:val="555555"/>
          <w:sz w:val="18"/>
        </w:rPr>
        <w:t xml:space="preserve">Stand: 10.06.2019 (konsolidierte Textfassung, kein amtliches Inkrafttretensdatum)</w:t>
      </w:r>
    </w:p>
    <w:p>
      <w:r>
        <w:t xml:space="preserve">Den in § 6 Abs. 2 des Bundesbesoldungsgesetzes genannten Beamten und Richtern wird ein nichtruhegehaltfähiger Altersteilzeitzuschlag gewährt, soweit die Altersteilzeit mindestens mit der Hälfte der bisherigen Arbeitszeit, die für die Bemessung der ermäßigten Arbeitszeit während der Altersteilzeit zugrunde gelegt worden ist, durchgeführt wird.</w:t>
      </w:r>
    </w:p>
    <w:p>
      <w:r>
        <w:rPr>
          <w:color w:val="555555"/>
          <w:sz w:val="17"/>
        </w:rPr>
        <w:t xml:space="preserve">Zitiervorschlag: § 1 ATZV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https://recht.nulegal.eu/gesetze/ATZV/1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