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ATGV 2019 — Auslandstrennungsbedingter Mehraufwand</w:t>
      </w:r>
    </w:p>
    <w:p>
      <w:r>
        <w:rPr>
          <w:color w:val="555555"/>
          <w:sz w:val="18"/>
        </w:rPr>
        <w:t xml:space="preserve">Auslandstrennungsgeldverordnung</w:t>
      </w:r>
    </w:p>
    <w:p>
      <w:r>
        <w:rPr>
          <w:color w:val="555555"/>
          <w:sz w:val="18"/>
        </w:rPr>
        <w:t xml:space="preserve">Stand: 18.01.2020 (konsolidierte Textfassung, kein amtliches Inkrafttretensdatum)</w:t>
      </w:r>
    </w:p>
    <w:p>
      <w:r>
        <w:t xml:space="preserve">(1) Bei Maßnahmen nach § 2 Absatz 1 im Ausland und vom Ausland ins Inland wird der auslandstrennungsbedingte Mehraufwand einer getrennten Haushaltsführung wie folgt abgegolten:</w:t>
      </w:r>
    </w:p>
    <w:p>
      <w:pPr>
        <w:ind w:left="420"/>
      </w:pPr>
      <w:r>
        <w:t xml:space="preserve">1. für die berechtigte Person:</w:t>
      </w:r>
    </w:p>
    <w:p>
      <w:pPr>
        <w:ind w:left="780"/>
      </w:pPr>
      <w:r>
        <w:t xml:space="preserve">a) im Fall des § 4 Absatz 1 mit einem Betrag in Höhe von 20 Prozent des Auslandszuschlags nach § 53 Absatz 2 Satz 1 des Bundesbesoldungsgesetzes am bisherigen Dienstort zuzüglich des auf diesen Betrag anzuwendenden Kaufkraftausgleichs nach § 55 des Bundesbesoldungsgesetzes und</w:t>
      </w:r>
    </w:p>
    <w:p>
      <w:pPr>
        <w:ind w:left="780"/>
      </w:pPr>
      <w:r>
        <w:t xml:space="preserve">b) im Fall des § 4 Absatz 2 mit einem Betrag in Höhe von 10 Prozent des Auslandszuschlags nach § 53 Absatz 2 Satz 1 des Bundesbesoldungsgesetzes am bisherigen Dienstort zuzüglich des auf diesen Betrag anzuwendenden Kaufkraftausgleichs nach § 55 des Bundesbesoldungsgesetzes,</w:t>
      </w:r>
    </w:p>
    <w:p>
      <w:pPr>
        <w:ind w:left="420"/>
      </w:pPr>
      <w:r>
        <w:t xml:space="preserve">2. für die zurückbleibenden berücksichtigungsfähigen Personen mit einem Betrag in Höhe des Auslandszuschlags nach § 53 Absatz 2 Satz 2 und 3 und Absatz 6 Satz 3 und 4 des Bundesbesoldungsgesetzes am bisherigen Dienstort zuzüglich des auf diesen Betrag anzuwendenden Kaufkraftausgleichs nach § 55 des Bundesbesoldungsgesetzes; diese Zahlungen sind auf die Besoldung anzurechnen, wenn für diese Person am neuen Dienstort Zahlungen nach § 53 Absatz 4 und 5 des Bundesbesoldungsgesetzes zustehen.</w:t>
      </w:r>
    </w:p>
    <w:p>
      <w:r>
        <w:t xml:space="preserve">Erhält eine berücksichtigungsfähige Person selbst einen Auslandszuschlag oder wird der Auslandszuschlag für eine berücksichtigungsfähige Person bereits an eine andere Person gezahlt, so ist die Zahlung eines auslandstrennungsbedingten Mehraufwands für die berücksichtigungsfähige Person ausgeschlossen.</w:t>
      </w:r>
    </w:p>
    <w:p>
      <w:r>
        <w:t xml:space="preserve">(2) Abweichend von Absatz 1 wird bei Maßnahmen nach § 2 Absatz 1 vom Ausland in das Inland bis zu drei Monaten kein auslandstrennungsbedingter Mehraufwand abgegolten, wenn Anspruch auf Auslandsdienstbezüge nach § 52 Absatz 3 Satz 1 des Bundesbesoldungsgesetzes besteht.</w:t>
      </w:r>
    </w:p>
    <w:p>
      <w:r>
        <w:t xml:space="preserve">(3) Bei einer Maßnahme nach § 2 Absatz 1 vom Inland ins Ausland wird der auslandstrennungsbedingte Mehraufwand einer getrennten Haushaltsführung der zurückbleibenden berücksichtigungsfähigen Personen abgegolten mit einem Betrag in Höhe von 70 Prozent des Auslandszuschlags, der bei der Übersiedlung dieser Personen an den neuen Dienstort zustünde. Dies gilt nur, soweit kein Anspruch nach § 53 Absatz 4 und 5 des Bundesbesoldungsgesetzes besteht.</w:t>
      </w:r>
    </w:p>
    <w:p>
      <w:r>
        <w:rPr>
          <w:color w:val="555555"/>
          <w:sz w:val="17"/>
        </w:rPr>
        <w:t xml:space="preserve">Zitiervorschlag: § 9 ATGV 2019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https://recht.nulegal.eu/gesetze/ATGV%202019/9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