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ATGV 2019 — Auslandstrennungsübernachtungsgeld</w:t>
      </w:r>
    </w:p>
    <w:p>
      <w:r>
        <w:rPr>
          <w:color w:val="555555"/>
          <w:sz w:val="18"/>
        </w:rPr>
        <w:t xml:space="preserve">Auslandstrennungsgeldverordnung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Auslandstrennungsübernachtungsgeld wird gewährt</w:t>
      </w:r>
    </w:p>
    <w:p>
      <w:pPr>
        <w:ind w:left="420"/>
      </w:pPr>
      <w:r>
        <w:t xml:space="preserve">1. bei Maßnahmen nach § 2 Absatz 1 vom Ausland ins Inland die gleiche Vergütung wie bei Maßnahmen im Inland,</w:t>
      </w:r>
    </w:p>
    <w:p>
      <w:pPr>
        <w:ind w:left="420"/>
      </w:pPr>
      <w:r>
        <w:t xml:space="preserve">2. bei Maßnahmen nach § 2 Absatz 1 vom Inland ins Ausland oder im Ausland neben dem vorrangig zu gewährenden Mietzuschuss nach § 54 des Bundesbesoldungsgesetzes ein Betrag in Höhe der nach dessen Regelungen verbleibenden Mieteigenbelastung für eine notwendige und angemessene Unterkunft am neuen Dienst- oder Wohnort,</w:t>
      </w:r>
    </w:p>
    <w:p>
      <w:pPr>
        <w:ind w:left="420"/>
      </w:pPr>
      <w:r>
        <w:t xml:space="preserve">3. bei Beibehaltung der Wohnung am bisherigen Dienst- oder Wohnort im Ausland ein Betrag in Höhe des Mietzuschusses nach § 54 des Bundesbesoldungsgesetzes, welcher der berechtigten Person für diese Wohnung bislang zustand.</w:t>
      </w:r>
    </w:p>
    <w:p>
      <w:r>
        <w:t xml:space="preserve">(2) Werden Einnahmen aus der beibehaltenen Wohnung am bisherigen Dienst- oder Wohnort erzielt, so sind diese auf das Auslandstrennungsübernachtungsgeld anzurechnen.</w:t>
      </w:r>
    </w:p>
    <w:p>
      <w:r>
        <w:rPr>
          <w:color w:val="555555"/>
          <w:sz w:val="17"/>
        </w:rPr>
        <w:t xml:space="preserve">Zitiervorschlag: § 8 ATGV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https://recht.nulegal.eu/gesetze/ATGV%202019/8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