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ATGV 2019 — Auslandstrennungsgeld nach Zusage der Umzugskostenvergütung</w:t>
      </w:r>
    </w:p>
    <w:p>
      <w:r>
        <w:rPr>
          <w:color w:val="555555"/>
          <w:sz w:val="18"/>
        </w:rPr>
        <w:t xml:space="preserve">Auslandstrennungsgeldverordnung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Nach uneingeschränkter Zusage der Umzugskostenvergütung wird Auslandstrennungsgeld gewährt, wenn die berechtigte Person seit dem Tag des Wirksamwerdens der Zusage oder, falls für die berechtigte Person günstiger, der dienstlichen Maßnahme nach § 2 Absatz 1 uneingeschränkt umzugswillig ist und sich ständig um eine Wohnung bemüht, aber wegen Wohnungsmangels am neuen Dienstort und im Einzugsgebiet der neuen Dienststätte oder aus zwingenden persönlichen Gründen nach § 12 Absatz 3 des Bundesumzugskostengesetzes vorübergehend nicht umziehen kann. Der Umzug darf nicht durch unangemessene Ansprüche an die Wohnung oder aus anderen nicht zwingenden Gründen verzögert werden.</w:t>
      </w:r>
    </w:p>
    <w:p>
      <w:r>
        <w:t xml:space="preserve">(2) Liegt bei Umsetzungen oder Versetzungen vom Inland ins Ausland kein Umzugshinderungsgrund nach § 12 Absatz 3 des Bundesumzugskostengesetzes vor, wird Auslandstrennungsgeld für längstens sechs Monate gewährt, solange der Ehegatte oder der Lebenspartner auf Grund einer eigenen Berufstätigkeit vorübergehend nicht umziehen kann.</w:t>
      </w:r>
    </w:p>
    <w:p>
      <w:r>
        <w:t xml:space="preserve">(3) Wird die Zusage der Umzugskostenvergütung außerhalb eines Rechtsbehelfsverfahrens aufgehoben, so wird dadurch ein Auslandstrennungsgeldanspruch nicht begründet; ein erloschener Auslandstrennungsgeldanspruch lebt nicht wieder auf.</w:t>
      </w:r>
    </w:p>
    <w:p>
      <w:r>
        <w:rPr>
          <w:color w:val="555555"/>
          <w:sz w:val="17"/>
        </w:rPr>
        <w:t xml:space="preserve">Zitiervorschlag: § 5 ATGV 2019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https://recht.nulegal.eu/gesetze/ATGV%202019/5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